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50E45" w:rsidRDefault="00950E45">
      <w:pPr>
        <w:rPr>
          <w:rFonts w:ascii="Arial" w:eastAsia="Arial" w:hAnsi="Arial" w:cs="Arial"/>
          <w:b/>
          <w:sz w:val="36"/>
          <w:szCs w:val="36"/>
        </w:rPr>
      </w:pPr>
    </w:p>
    <w:p w14:paraId="00000002" w14:textId="77777777" w:rsidR="00950E45" w:rsidRDefault="00F45B13">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3" w14:textId="77777777" w:rsidR="00950E45" w:rsidRDefault="00F45B13">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00000004" w14:textId="77777777" w:rsidR="00950E45" w:rsidRDefault="00950E45">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16B2B789" w14:textId="77777777" w:rsidR="00950E45" w:rsidRDefault="00950E45">
      <w:pPr>
        <w:pBdr>
          <w:top w:val="nil"/>
          <w:left w:val="nil"/>
          <w:bottom w:val="nil"/>
          <w:right w:val="nil"/>
          <w:between w:val="nil"/>
        </w:pBdr>
        <w:spacing w:before="120" w:after="120" w:line="240" w:lineRule="auto"/>
        <w:ind w:left="936" w:hanging="576"/>
        <w:rPr>
          <w:rFonts w:ascii="Arial" w:eastAsia="Arial" w:hAnsi="Arial" w:cs="Arial"/>
          <w:b/>
          <w:color w:val="000000"/>
          <w:sz w:val="24"/>
          <w:szCs w:val="24"/>
          <w:highlight w:val="yellow"/>
        </w:rPr>
      </w:pPr>
    </w:p>
    <w:p w14:paraId="7E0ACC80" w14:textId="77777777" w:rsidR="007D1264" w:rsidRDefault="007D1264">
      <w:pPr>
        <w:spacing w:after="298" w:line="259" w:lineRule="auto"/>
      </w:pPr>
      <w:r>
        <w:rPr>
          <w:rFonts w:cs="Calibri"/>
          <w:noProof/>
        </w:rPr>
        <mc:AlternateContent>
          <mc:Choice Requires="wpg">
            <w:drawing>
              <wp:inline distT="0" distB="0" distL="0" distR="0" wp14:anchorId="623B1A3B" wp14:editId="106A2719">
                <wp:extent cx="1685509" cy="1882394"/>
                <wp:effectExtent l="0" t="0" r="0" b="0"/>
                <wp:docPr id="35587" name="Group 35587"/>
                <wp:cNvGraphicFramePr/>
                <a:graphic xmlns:a="http://schemas.openxmlformats.org/drawingml/2006/main">
                  <a:graphicData uri="http://schemas.microsoft.com/office/word/2010/wordprocessingGroup">
                    <wpg:wgp>
                      <wpg:cNvGrpSpPr/>
                      <wpg:grpSpPr>
                        <a:xfrm>
                          <a:off x="0" y="0"/>
                          <a:ext cx="1685509" cy="1882394"/>
                          <a:chOff x="0" y="0"/>
                          <a:chExt cx="1685509" cy="1882394"/>
                        </a:xfrm>
                      </wpg:grpSpPr>
                      <wps:wsp>
                        <wps:cNvPr id="43776" name="Shape 43776"/>
                        <wps:cNvSpPr/>
                        <wps:spPr>
                          <a:xfrm>
                            <a:off x="305" y="0"/>
                            <a:ext cx="1646174" cy="1371854"/>
                          </a:xfrm>
                          <a:custGeom>
                            <a:avLst/>
                            <a:gdLst/>
                            <a:ahLst/>
                            <a:cxnLst/>
                            <a:rect l="0" t="0" r="0" b="0"/>
                            <a:pathLst>
                              <a:path w="1646174" h="1371854">
                                <a:moveTo>
                                  <a:pt x="0" y="0"/>
                                </a:moveTo>
                                <a:lnTo>
                                  <a:pt x="1646174" y="0"/>
                                </a:lnTo>
                                <a:lnTo>
                                  <a:pt x="1646174" y="1371854"/>
                                </a:lnTo>
                                <a:lnTo>
                                  <a:pt x="0" y="1371854"/>
                                </a:lnTo>
                                <a:lnTo>
                                  <a:pt x="0" y="0"/>
                                </a:lnTo>
                              </a:path>
                            </a:pathLst>
                          </a:custGeom>
                          <a:ln w="0" cap="flat">
                            <a:round/>
                          </a:ln>
                        </wps:spPr>
                        <wps:style>
                          <a:lnRef idx="0">
                            <a:srgbClr val="000000">
                              <a:alpha val="0"/>
                            </a:srgbClr>
                          </a:lnRef>
                          <a:fillRef idx="1">
                            <a:srgbClr val="E6E6E6"/>
                          </a:fillRef>
                          <a:effectRef idx="0">
                            <a:scrgbClr r="0" g="0" b="0"/>
                          </a:effectRef>
                          <a:fontRef idx="none"/>
                        </wps:style>
                        <wps:bodyPr/>
                      </wps:wsp>
                      <wps:wsp>
                        <wps:cNvPr id="42" name="Rectangle 42"/>
                        <wps:cNvSpPr/>
                        <wps:spPr>
                          <a:xfrm>
                            <a:off x="1646555" y="1244966"/>
                            <a:ext cx="51809" cy="207922"/>
                          </a:xfrm>
                          <a:prstGeom prst="rect">
                            <a:avLst/>
                          </a:prstGeom>
                          <a:ln>
                            <a:noFill/>
                          </a:ln>
                        </wps:spPr>
                        <wps:txbx>
                          <w:txbxContent>
                            <w:p w14:paraId="384E7F6E" w14:textId="77777777" w:rsidR="007D1264" w:rsidRDefault="007D1264">
                              <w:pPr>
                                <w:spacing w:after="160" w:line="259" w:lineRule="auto"/>
                              </w:pPr>
                              <w:r>
                                <w:t xml:space="preserve"> </w:t>
                              </w:r>
                            </w:p>
                          </w:txbxContent>
                        </wps:txbx>
                        <wps:bodyPr horzOverflow="overflow" vert="horz" lIns="0" tIns="0" rIns="0" bIns="0" rtlCol="0">
                          <a:noAutofit/>
                        </wps:bodyPr>
                      </wps:wsp>
                      <wps:wsp>
                        <wps:cNvPr id="43" name="Rectangle 43"/>
                        <wps:cNvSpPr/>
                        <wps:spPr>
                          <a:xfrm>
                            <a:off x="305" y="1376029"/>
                            <a:ext cx="51809" cy="207922"/>
                          </a:xfrm>
                          <a:prstGeom prst="rect">
                            <a:avLst/>
                          </a:prstGeom>
                          <a:ln>
                            <a:noFill/>
                          </a:ln>
                        </wps:spPr>
                        <wps:txbx>
                          <w:txbxContent>
                            <w:p w14:paraId="3B48F176" w14:textId="77777777" w:rsidR="007D1264" w:rsidRDefault="007D1264">
                              <w:pPr>
                                <w:spacing w:after="160" w:line="259" w:lineRule="auto"/>
                              </w:pPr>
                              <w:r>
                                <w:t xml:space="preserve"> </w:t>
                              </w:r>
                            </w:p>
                          </w:txbxContent>
                        </wps:txbx>
                        <wps:bodyPr horzOverflow="overflow" vert="horz" lIns="0" tIns="0" rIns="0" bIns="0" rtlCol="0">
                          <a:noAutofit/>
                        </wps:bodyPr>
                      </wps:wsp>
                      <wps:wsp>
                        <wps:cNvPr id="44" name="Rectangle 44"/>
                        <wps:cNvSpPr/>
                        <wps:spPr>
                          <a:xfrm>
                            <a:off x="305" y="1542542"/>
                            <a:ext cx="1712404" cy="452002"/>
                          </a:xfrm>
                          <a:prstGeom prst="rect">
                            <a:avLst/>
                          </a:prstGeom>
                          <a:ln>
                            <a:noFill/>
                          </a:ln>
                        </wps:spPr>
                        <wps:txbx>
                          <w:txbxContent>
                            <w:p w14:paraId="336229C3" w14:textId="77777777" w:rsidR="007D1264" w:rsidRDefault="007D1264">
                              <w:pPr>
                                <w:spacing w:after="160" w:line="259" w:lineRule="auto"/>
                              </w:pPr>
                              <w:r>
                                <w:rPr>
                                  <w:rFonts w:ascii="Arial" w:eastAsia="Arial" w:hAnsi="Arial" w:cs="Arial"/>
                                  <w:b/>
                                  <w:sz w:val="48"/>
                                </w:rPr>
                                <w:t>Bid Pack</w:t>
                              </w:r>
                            </w:p>
                          </w:txbxContent>
                        </wps:txbx>
                        <wps:bodyPr horzOverflow="overflow" vert="horz" lIns="0" tIns="0" rIns="0" bIns="0" rtlCol="0">
                          <a:noAutofit/>
                        </wps:bodyPr>
                      </wps:wsp>
                      <wps:wsp>
                        <wps:cNvPr id="45" name="Rectangle 45"/>
                        <wps:cNvSpPr/>
                        <wps:spPr>
                          <a:xfrm>
                            <a:off x="1288034" y="1542542"/>
                            <a:ext cx="112629" cy="452002"/>
                          </a:xfrm>
                          <a:prstGeom prst="rect">
                            <a:avLst/>
                          </a:prstGeom>
                          <a:ln>
                            <a:noFill/>
                          </a:ln>
                        </wps:spPr>
                        <wps:txbx>
                          <w:txbxContent>
                            <w:p w14:paraId="1E41ED98" w14:textId="77777777" w:rsidR="007D1264" w:rsidRDefault="007D1264">
                              <w:pPr>
                                <w:spacing w:after="160" w:line="259" w:lineRule="auto"/>
                              </w:pPr>
                              <w:r>
                                <w:rPr>
                                  <w:rFonts w:ascii="Arial" w:eastAsia="Arial" w:hAnsi="Arial" w:cs="Arial"/>
                                  <w:b/>
                                  <w:sz w:val="48"/>
                                </w:rPr>
                                <w:t xml:space="preserve"> </w:t>
                              </w:r>
                            </w:p>
                          </w:txbxContent>
                        </wps:txbx>
                        <wps:bodyPr horzOverflow="overflow" vert="horz" lIns="0" tIns="0" rIns="0" bIns="0" rtlCol="0">
                          <a:noAutofit/>
                        </wps:bodyPr>
                      </wps:wsp>
                      <pic:pic xmlns:pic="http://schemas.openxmlformats.org/drawingml/2006/picture">
                        <pic:nvPicPr>
                          <pic:cNvPr id="60" name="Picture 60"/>
                          <pic:cNvPicPr/>
                        </pic:nvPicPr>
                        <pic:blipFill>
                          <a:blip r:embed="rId11"/>
                          <a:stretch>
                            <a:fillRect/>
                          </a:stretch>
                        </pic:blipFill>
                        <pic:spPr>
                          <a:xfrm>
                            <a:off x="0" y="0"/>
                            <a:ext cx="1645920" cy="1371600"/>
                          </a:xfrm>
                          <a:prstGeom prst="rect">
                            <a:avLst/>
                          </a:prstGeom>
                        </pic:spPr>
                      </pic:pic>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23B1A3B" id="Group 35587" o:spid="_x0000_s1026" style="width:132.7pt;height:148.2pt;mso-position-horizontal-relative:char;mso-position-vertical-relative:line" coordsize="16855,188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">
                <v:shape id="Shape 43776" o:spid="_x0000_s1027" style="position:absolute;left:3;width:16461;height:13718;visibility:visible;mso-wrap-style:square;v-text-anchor:top" coordsize="1646174,1371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" path="m,l1646174,r,1371854l,1371854,,e" fillcolor="#e6e6e6" stroked="f" strokeweight="0">
                  <v:path arrowok="t" textboxrect="0,0,1646174,1371854"/>
                </v:shape>
                <v:rect id="Rectangle 42" o:spid="_x0000_s1028" style="position:absolute;left:16465;top:1244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14:paraId="384E7F6E" w14:textId="77777777" w:rsidR="007D1264" w:rsidRDefault="007D1264">
                        <w:pPr>
                          <w:spacing w:after="160" w:line="259" w:lineRule="auto"/>
                        </w:pPr>
                        <w:r>
                          <w:t xml:space="preserve"> </w:t>
                        </w:r>
                      </w:p>
                    </w:txbxContent>
                  </v:textbox>
                </v:rect>
                <v:rect id="Rectangle 43" o:spid="_x0000_s1029" style="position:absolute;left:3;top:1376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3B48F176" w14:textId="77777777" w:rsidR="007D1264" w:rsidRDefault="007D1264">
                        <w:pPr>
                          <w:spacing w:after="160" w:line="259" w:lineRule="auto"/>
                        </w:pPr>
                        <w:r>
                          <w:t xml:space="preserve"> </w:t>
                        </w:r>
                      </w:p>
                    </w:txbxContent>
                  </v:textbox>
                </v:rect>
                <v:rect id="Rectangle 44" o:spid="_x0000_s1030" style="position:absolute;left:3;top:15425;width:17124;height:4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14:paraId="336229C3" w14:textId="77777777" w:rsidR="007D1264" w:rsidRDefault="007D1264">
                        <w:pPr>
                          <w:spacing w:after="160" w:line="259" w:lineRule="auto"/>
                        </w:pPr>
                        <w:r>
                          <w:rPr>
                            <w:rFonts w:ascii="Arial" w:eastAsia="Arial" w:hAnsi="Arial" w:cs="Arial"/>
                            <w:b/>
                            <w:sz w:val="48"/>
                          </w:rPr>
                          <w:t>Bid Pack</w:t>
                        </w:r>
                      </w:p>
                    </w:txbxContent>
                  </v:textbox>
                </v:rect>
                <v:rect id="Rectangle 45" o:spid="_x0000_s1031" style="position:absolute;left:12880;top:15425;width:1126;height:4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H6FwwAAANsAAAAPAAAAZHJzL2Rvd25yZXYueG1sRI9Li8JA&#10;EITvgv9haMGbTlxU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MTh+hcMAAADbAAAADwAA&#10;AAAAAAAAAAAAAAAHAgAAZHJzL2Rvd25yZXYueG1sUEsFBgAAAAADAAMAtwAAAPcCAAAAAA==&#10;" filled="f" stroked="f">
                  <v:textbox inset="0,0,0,0">
                    <w:txbxContent>
                      <w:p w14:paraId="1E41ED98" w14:textId="77777777" w:rsidR="007D1264" w:rsidRDefault="007D1264">
                        <w:pPr>
                          <w:spacing w:after="160" w:line="259" w:lineRule="auto"/>
                        </w:pPr>
                        <w:r>
                          <w:rPr>
                            <w:rFonts w:ascii="Arial" w:eastAsia="Arial" w:hAnsi="Arial" w:cs="Arial"/>
                            <w:b/>
                            <w:sz w:val="4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0" o:spid="_x0000_s1032" type="#_x0000_t75" style="position:absolute;width:16459;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">
                  <v:imagedata r:id="rId12" o:title=""/>
                </v:shape>
                <w10:anchorlock/>
              </v:group>
            </w:pict>
          </mc:Fallback>
        </mc:AlternateContent>
      </w:r>
    </w:p>
    <w:p w14:paraId="7F5458A3" w14:textId="77777777" w:rsidR="007D1264" w:rsidRDefault="007D1264">
      <w:pPr>
        <w:spacing w:after="192" w:line="259" w:lineRule="auto"/>
      </w:pPr>
      <w:r>
        <w:rPr>
          <w:rFonts w:ascii="Arial" w:eastAsia="Arial" w:hAnsi="Arial" w:cs="Arial"/>
          <w:b/>
          <w:sz w:val="36"/>
        </w:rPr>
        <w:t xml:space="preserve">Attachment 3 – Statement of Requirements </w:t>
      </w:r>
    </w:p>
    <w:p w14:paraId="61D95515" w14:textId="77777777" w:rsidR="007D1264" w:rsidRDefault="007D1264">
      <w:pPr>
        <w:spacing w:after="62" w:line="259" w:lineRule="auto"/>
      </w:pPr>
      <w:r>
        <w:rPr>
          <w:sz w:val="32"/>
        </w:rPr>
        <w:t xml:space="preserve">Provision of Permanent Recruitment for the Home Office  </w:t>
      </w:r>
    </w:p>
    <w:p w14:paraId="69A1E7CF" w14:textId="77777777" w:rsidR="007D1264" w:rsidRDefault="007D1264">
      <w:pPr>
        <w:spacing w:after="105" w:line="259" w:lineRule="auto"/>
      </w:pPr>
      <w:r>
        <w:t xml:space="preserve"> </w:t>
      </w:r>
    </w:p>
    <w:p w14:paraId="0346E098" w14:textId="77777777" w:rsidR="007D1264" w:rsidRDefault="007D1264">
      <w:pPr>
        <w:spacing w:after="0" w:line="259" w:lineRule="auto"/>
      </w:pPr>
      <w:r>
        <w:t xml:space="preserve"> </w:t>
      </w:r>
      <w:r>
        <w:tab/>
      </w:r>
      <w:r>
        <w:rPr>
          <w:rFonts w:ascii="Arial" w:eastAsia="Arial" w:hAnsi="Arial" w:cs="Arial"/>
          <w:b/>
        </w:rPr>
        <w:t xml:space="preserve"> </w:t>
      </w:r>
      <w:r>
        <w:br w:type="page"/>
      </w:r>
    </w:p>
    <w:sdt>
      <w:sdtPr>
        <w:id w:val="2113706786"/>
        <w:docPartObj>
          <w:docPartGallery w:val="Table of Contents"/>
        </w:docPartObj>
      </w:sdtPr>
      <w:sdtEndPr/>
      <w:sdtContent>
        <w:p w14:paraId="5122EC60" w14:textId="77777777" w:rsidR="007D1264" w:rsidRDefault="007D1264">
          <w:pPr>
            <w:spacing w:after="0" w:line="259" w:lineRule="auto"/>
            <w:ind w:right="7"/>
            <w:jc w:val="center"/>
          </w:pPr>
          <w:r>
            <w:rPr>
              <w:rFonts w:ascii="Arial" w:eastAsia="Arial" w:hAnsi="Arial" w:cs="Arial"/>
              <w:b/>
            </w:rPr>
            <w:t xml:space="preserve">CONTENTS </w:t>
          </w:r>
        </w:p>
        <w:p w14:paraId="43D311D1" w14:textId="77777777" w:rsidR="007D1264" w:rsidRDefault="007D1264">
          <w:pPr>
            <w:spacing w:after="0" w:line="259" w:lineRule="auto"/>
          </w:pPr>
          <w:r>
            <w:t xml:space="preserve"> </w:t>
          </w:r>
        </w:p>
        <w:p w14:paraId="135F61D6" w14:textId="1C920BB5" w:rsidR="007D1264" w:rsidRDefault="007D1264">
          <w:pPr>
            <w:pStyle w:val="TOC1"/>
            <w:tabs>
              <w:tab w:val="right" w:leader="dot" w:pos="9035"/>
            </w:tabs>
            <w:rPr>
              <w:noProof/>
            </w:rPr>
          </w:pPr>
          <w:r>
            <w:fldChar w:fldCharType="begin"/>
          </w:r>
          <w:r>
            <w:instrText xml:space="preserve"> TOC \o "1-1" \h \z \u </w:instrText>
          </w:r>
          <w:r>
            <w:fldChar w:fldCharType="separate"/>
          </w:r>
          <w:hyperlink w:anchor="_Toc43528">
            <w:r>
              <w:rPr>
                <w:noProof/>
              </w:rPr>
              <w:t>1.</w:t>
            </w:r>
            <w:r>
              <w:rPr>
                <w:rFonts w:ascii="Calibri" w:eastAsia="Calibri" w:hAnsi="Calibri" w:cs="Calibri"/>
                <w:noProof/>
              </w:rPr>
              <w:t xml:space="preserve">  </w:t>
            </w:r>
            <w:r>
              <w:rPr>
                <w:noProof/>
              </w:rPr>
              <w:t>PURPOSE</w:t>
            </w:r>
            <w:r>
              <w:rPr>
                <w:noProof/>
              </w:rPr>
              <w:tab/>
            </w:r>
            <w:r>
              <w:rPr>
                <w:noProof/>
              </w:rPr>
              <w:fldChar w:fldCharType="begin"/>
            </w:r>
            <w:r>
              <w:rPr>
                <w:noProof/>
              </w:rPr>
              <w:instrText>PAGEREF _Toc43528 \h</w:instrText>
            </w:r>
            <w:r>
              <w:rPr>
                <w:noProof/>
              </w:rPr>
            </w:r>
            <w:r>
              <w:rPr>
                <w:noProof/>
              </w:rPr>
              <w:fldChar w:fldCharType="separate"/>
            </w:r>
            <w:r>
              <w:rPr>
                <w:noProof/>
              </w:rPr>
              <w:t>2</w:t>
            </w:r>
            <w:r>
              <w:rPr>
                <w:noProof/>
              </w:rPr>
              <w:fldChar w:fldCharType="end"/>
            </w:r>
          </w:hyperlink>
        </w:p>
        <w:p w14:paraId="4D38F93A" w14:textId="440D4491" w:rsidR="007D1264" w:rsidRDefault="005A0D65">
          <w:pPr>
            <w:pStyle w:val="TOC1"/>
            <w:tabs>
              <w:tab w:val="right" w:leader="dot" w:pos="9035"/>
            </w:tabs>
            <w:rPr>
              <w:noProof/>
            </w:rPr>
          </w:pPr>
          <w:hyperlink w:anchor="_Toc43529">
            <w:r w:rsidR="007D1264">
              <w:rPr>
                <w:noProof/>
              </w:rPr>
              <w:t>2.</w:t>
            </w:r>
            <w:r w:rsidR="007D1264">
              <w:rPr>
                <w:rFonts w:ascii="Calibri" w:eastAsia="Calibri" w:hAnsi="Calibri" w:cs="Calibri"/>
                <w:noProof/>
              </w:rPr>
              <w:t xml:space="preserve">  </w:t>
            </w:r>
            <w:r w:rsidR="007D1264">
              <w:rPr>
                <w:noProof/>
              </w:rPr>
              <w:t>BACKGROUND TO THE CONTRACTING AUTHORITY</w:t>
            </w:r>
            <w:r w:rsidR="007D1264">
              <w:rPr>
                <w:noProof/>
              </w:rPr>
              <w:tab/>
            </w:r>
            <w:r w:rsidR="007D1264">
              <w:rPr>
                <w:noProof/>
              </w:rPr>
              <w:fldChar w:fldCharType="begin"/>
            </w:r>
            <w:r w:rsidR="007D1264">
              <w:rPr>
                <w:noProof/>
              </w:rPr>
              <w:instrText>PAGEREF _Toc43529 \h</w:instrText>
            </w:r>
            <w:r w:rsidR="007D1264">
              <w:rPr>
                <w:noProof/>
              </w:rPr>
            </w:r>
            <w:r w:rsidR="007D1264">
              <w:rPr>
                <w:noProof/>
              </w:rPr>
              <w:fldChar w:fldCharType="separate"/>
            </w:r>
            <w:r w:rsidR="007D1264">
              <w:rPr>
                <w:noProof/>
              </w:rPr>
              <w:t>3</w:t>
            </w:r>
            <w:r w:rsidR="007D1264">
              <w:rPr>
                <w:noProof/>
              </w:rPr>
              <w:fldChar w:fldCharType="end"/>
            </w:r>
          </w:hyperlink>
        </w:p>
        <w:p w14:paraId="1DBDFF8A" w14:textId="1BE7BD46" w:rsidR="007D1264" w:rsidRDefault="005A0D65">
          <w:pPr>
            <w:pStyle w:val="TOC1"/>
            <w:tabs>
              <w:tab w:val="right" w:leader="dot" w:pos="9035"/>
            </w:tabs>
            <w:rPr>
              <w:noProof/>
            </w:rPr>
          </w:pPr>
          <w:hyperlink w:anchor="_Toc43530">
            <w:r w:rsidR="007D1264">
              <w:rPr>
                <w:noProof/>
              </w:rPr>
              <w:t>3.</w:t>
            </w:r>
            <w:r w:rsidR="007D1264">
              <w:rPr>
                <w:rFonts w:ascii="Calibri" w:eastAsia="Calibri" w:hAnsi="Calibri" w:cs="Calibri"/>
                <w:noProof/>
              </w:rPr>
              <w:t xml:space="preserve">  </w:t>
            </w:r>
            <w:r w:rsidR="007D1264">
              <w:rPr>
                <w:noProof/>
              </w:rPr>
              <w:t>BACKGROUND TO REQUIREMENT/OVERVIEW OF REQUIREMENT</w:t>
            </w:r>
            <w:r w:rsidR="007D1264">
              <w:rPr>
                <w:noProof/>
              </w:rPr>
              <w:tab/>
            </w:r>
            <w:r w:rsidR="007D1264">
              <w:rPr>
                <w:noProof/>
              </w:rPr>
              <w:fldChar w:fldCharType="begin"/>
            </w:r>
            <w:r w:rsidR="007D1264">
              <w:rPr>
                <w:noProof/>
              </w:rPr>
              <w:instrText>PAGEREF _Toc43530 \h</w:instrText>
            </w:r>
            <w:r w:rsidR="007D1264">
              <w:rPr>
                <w:noProof/>
              </w:rPr>
            </w:r>
            <w:r w:rsidR="007D1264">
              <w:rPr>
                <w:noProof/>
              </w:rPr>
              <w:fldChar w:fldCharType="separate"/>
            </w:r>
            <w:r w:rsidR="007D1264">
              <w:rPr>
                <w:noProof/>
              </w:rPr>
              <w:t>3</w:t>
            </w:r>
            <w:r w:rsidR="007D1264">
              <w:rPr>
                <w:noProof/>
              </w:rPr>
              <w:fldChar w:fldCharType="end"/>
            </w:r>
          </w:hyperlink>
        </w:p>
        <w:p w14:paraId="1D00FFF7" w14:textId="5E0206BD" w:rsidR="007D1264" w:rsidRDefault="005A0D65">
          <w:pPr>
            <w:pStyle w:val="TOC1"/>
            <w:tabs>
              <w:tab w:val="right" w:leader="dot" w:pos="9035"/>
            </w:tabs>
            <w:rPr>
              <w:noProof/>
            </w:rPr>
          </w:pPr>
          <w:hyperlink w:anchor="_Toc43531">
            <w:r w:rsidR="007D1264">
              <w:rPr>
                <w:noProof/>
              </w:rPr>
              <w:t>4.</w:t>
            </w:r>
            <w:r w:rsidR="007D1264">
              <w:rPr>
                <w:rFonts w:ascii="Calibri" w:eastAsia="Calibri" w:hAnsi="Calibri" w:cs="Calibri"/>
                <w:noProof/>
              </w:rPr>
              <w:t xml:space="preserve">  </w:t>
            </w:r>
            <w:r w:rsidR="007D1264">
              <w:rPr>
                <w:noProof/>
              </w:rPr>
              <w:t>DEFINITIONS</w:t>
            </w:r>
            <w:r w:rsidR="007D1264">
              <w:rPr>
                <w:noProof/>
              </w:rPr>
              <w:tab/>
            </w:r>
            <w:r w:rsidR="007D1264">
              <w:rPr>
                <w:noProof/>
              </w:rPr>
              <w:fldChar w:fldCharType="begin"/>
            </w:r>
            <w:r w:rsidR="007D1264">
              <w:rPr>
                <w:noProof/>
              </w:rPr>
              <w:instrText>PAGEREF _Toc43531 \h</w:instrText>
            </w:r>
            <w:r w:rsidR="007D1264">
              <w:rPr>
                <w:noProof/>
              </w:rPr>
            </w:r>
            <w:r w:rsidR="007D1264">
              <w:rPr>
                <w:noProof/>
              </w:rPr>
              <w:fldChar w:fldCharType="separate"/>
            </w:r>
            <w:r w:rsidR="007D1264">
              <w:rPr>
                <w:noProof/>
              </w:rPr>
              <w:t>5</w:t>
            </w:r>
            <w:r w:rsidR="007D1264">
              <w:rPr>
                <w:noProof/>
              </w:rPr>
              <w:fldChar w:fldCharType="end"/>
            </w:r>
          </w:hyperlink>
        </w:p>
        <w:p w14:paraId="4A686E5D" w14:textId="10B5BBDC" w:rsidR="007D1264" w:rsidRDefault="005A0D65">
          <w:pPr>
            <w:pStyle w:val="TOC1"/>
            <w:tabs>
              <w:tab w:val="right" w:leader="dot" w:pos="9035"/>
            </w:tabs>
            <w:rPr>
              <w:noProof/>
            </w:rPr>
          </w:pPr>
          <w:hyperlink w:anchor="_Toc43532">
            <w:r w:rsidR="007D1264">
              <w:rPr>
                <w:noProof/>
              </w:rPr>
              <w:t>5.</w:t>
            </w:r>
            <w:r w:rsidR="007D1264">
              <w:rPr>
                <w:rFonts w:ascii="Calibri" w:eastAsia="Calibri" w:hAnsi="Calibri" w:cs="Calibri"/>
                <w:noProof/>
              </w:rPr>
              <w:t xml:space="preserve">  </w:t>
            </w:r>
            <w:r w:rsidR="007D1264">
              <w:rPr>
                <w:noProof/>
              </w:rPr>
              <w:t>THE REQUIREMENT</w:t>
            </w:r>
            <w:r w:rsidR="007D1264">
              <w:rPr>
                <w:noProof/>
              </w:rPr>
              <w:tab/>
            </w:r>
            <w:r w:rsidR="007D1264">
              <w:rPr>
                <w:noProof/>
              </w:rPr>
              <w:fldChar w:fldCharType="begin"/>
            </w:r>
            <w:r w:rsidR="007D1264">
              <w:rPr>
                <w:noProof/>
              </w:rPr>
              <w:instrText>PAGEREF _Toc43532 \h</w:instrText>
            </w:r>
            <w:r w:rsidR="007D1264">
              <w:rPr>
                <w:noProof/>
              </w:rPr>
            </w:r>
            <w:r w:rsidR="007D1264">
              <w:rPr>
                <w:noProof/>
              </w:rPr>
              <w:fldChar w:fldCharType="separate"/>
            </w:r>
            <w:r w:rsidR="007D1264">
              <w:rPr>
                <w:noProof/>
              </w:rPr>
              <w:t>6</w:t>
            </w:r>
            <w:r w:rsidR="007D1264">
              <w:rPr>
                <w:noProof/>
              </w:rPr>
              <w:fldChar w:fldCharType="end"/>
            </w:r>
          </w:hyperlink>
        </w:p>
        <w:p w14:paraId="235EB224" w14:textId="7E36C244" w:rsidR="007D1264" w:rsidRDefault="005A0D65">
          <w:pPr>
            <w:pStyle w:val="TOC1"/>
            <w:tabs>
              <w:tab w:val="right" w:leader="dot" w:pos="9035"/>
            </w:tabs>
            <w:rPr>
              <w:noProof/>
            </w:rPr>
          </w:pPr>
          <w:hyperlink w:anchor="_Toc43533">
            <w:r w:rsidR="007D1264">
              <w:rPr>
                <w:noProof/>
              </w:rPr>
              <w:t>6.</w:t>
            </w:r>
            <w:r w:rsidR="007D1264">
              <w:rPr>
                <w:rFonts w:ascii="Calibri" w:eastAsia="Calibri" w:hAnsi="Calibri" w:cs="Calibri"/>
                <w:noProof/>
              </w:rPr>
              <w:t xml:space="preserve">  </w:t>
            </w:r>
            <w:r w:rsidR="007D1264">
              <w:rPr>
                <w:noProof/>
              </w:rPr>
              <w:t>KEY MILESTONES AND DELIVERABLES</w:t>
            </w:r>
            <w:r w:rsidR="007D1264">
              <w:rPr>
                <w:noProof/>
              </w:rPr>
              <w:tab/>
            </w:r>
            <w:r w:rsidR="007D1264">
              <w:rPr>
                <w:noProof/>
              </w:rPr>
              <w:fldChar w:fldCharType="begin"/>
            </w:r>
            <w:r w:rsidR="007D1264">
              <w:rPr>
                <w:noProof/>
              </w:rPr>
              <w:instrText>PAGEREF _Toc43533 \h</w:instrText>
            </w:r>
            <w:r w:rsidR="007D1264">
              <w:rPr>
                <w:noProof/>
              </w:rPr>
            </w:r>
            <w:r w:rsidR="007D1264">
              <w:rPr>
                <w:noProof/>
              </w:rPr>
              <w:fldChar w:fldCharType="separate"/>
            </w:r>
            <w:r w:rsidR="007D1264">
              <w:rPr>
                <w:noProof/>
              </w:rPr>
              <w:t>8</w:t>
            </w:r>
            <w:r w:rsidR="007D1264">
              <w:rPr>
                <w:noProof/>
              </w:rPr>
              <w:fldChar w:fldCharType="end"/>
            </w:r>
          </w:hyperlink>
        </w:p>
        <w:p w14:paraId="02E4C614" w14:textId="75F8D254" w:rsidR="007D1264" w:rsidRDefault="005A0D65">
          <w:pPr>
            <w:pStyle w:val="TOC1"/>
            <w:tabs>
              <w:tab w:val="right" w:leader="dot" w:pos="9035"/>
            </w:tabs>
            <w:rPr>
              <w:noProof/>
            </w:rPr>
          </w:pPr>
          <w:hyperlink w:anchor="_Toc43534">
            <w:r w:rsidR="007D1264">
              <w:rPr>
                <w:noProof/>
              </w:rPr>
              <w:t>7.</w:t>
            </w:r>
            <w:r w:rsidR="007D1264">
              <w:rPr>
                <w:rFonts w:ascii="Calibri" w:eastAsia="Calibri" w:hAnsi="Calibri" w:cs="Calibri"/>
                <w:noProof/>
              </w:rPr>
              <w:t xml:space="preserve">  </w:t>
            </w:r>
            <w:r w:rsidR="007D1264">
              <w:rPr>
                <w:noProof/>
              </w:rPr>
              <w:t>MANAGEMENT INFORMATION/REPORTING</w:t>
            </w:r>
            <w:r w:rsidR="007D1264">
              <w:rPr>
                <w:noProof/>
              </w:rPr>
              <w:tab/>
            </w:r>
            <w:r w:rsidR="007D1264">
              <w:rPr>
                <w:noProof/>
              </w:rPr>
              <w:fldChar w:fldCharType="begin"/>
            </w:r>
            <w:r w:rsidR="007D1264">
              <w:rPr>
                <w:noProof/>
              </w:rPr>
              <w:instrText>PAGEREF _Toc43534 \h</w:instrText>
            </w:r>
            <w:r w:rsidR="007D1264">
              <w:rPr>
                <w:noProof/>
              </w:rPr>
            </w:r>
            <w:r w:rsidR="007D1264">
              <w:rPr>
                <w:noProof/>
              </w:rPr>
              <w:fldChar w:fldCharType="separate"/>
            </w:r>
            <w:r w:rsidR="007D1264">
              <w:rPr>
                <w:noProof/>
              </w:rPr>
              <w:t>9</w:t>
            </w:r>
            <w:r w:rsidR="007D1264">
              <w:rPr>
                <w:noProof/>
              </w:rPr>
              <w:fldChar w:fldCharType="end"/>
            </w:r>
          </w:hyperlink>
        </w:p>
        <w:p w14:paraId="1D8FAD2F" w14:textId="52C00B5D" w:rsidR="007D1264" w:rsidRDefault="005A0D65">
          <w:pPr>
            <w:pStyle w:val="TOC1"/>
            <w:tabs>
              <w:tab w:val="right" w:leader="dot" w:pos="9035"/>
            </w:tabs>
            <w:rPr>
              <w:noProof/>
            </w:rPr>
          </w:pPr>
          <w:hyperlink w:anchor="_Toc43535">
            <w:r w:rsidR="007D1264">
              <w:rPr>
                <w:noProof/>
              </w:rPr>
              <w:t>8.</w:t>
            </w:r>
            <w:r w:rsidR="007D1264">
              <w:rPr>
                <w:rFonts w:ascii="Calibri" w:eastAsia="Calibri" w:hAnsi="Calibri" w:cs="Calibri"/>
                <w:noProof/>
              </w:rPr>
              <w:t xml:space="preserve">  </w:t>
            </w:r>
            <w:r w:rsidR="007D1264">
              <w:rPr>
                <w:noProof/>
              </w:rPr>
              <w:t>VOLUMES</w:t>
            </w:r>
            <w:r w:rsidR="007D1264">
              <w:rPr>
                <w:noProof/>
              </w:rPr>
              <w:tab/>
            </w:r>
            <w:r w:rsidR="007D1264">
              <w:rPr>
                <w:noProof/>
              </w:rPr>
              <w:fldChar w:fldCharType="begin"/>
            </w:r>
            <w:r w:rsidR="007D1264">
              <w:rPr>
                <w:noProof/>
              </w:rPr>
              <w:instrText>PAGEREF _Toc43535 \h</w:instrText>
            </w:r>
            <w:r w:rsidR="007D1264">
              <w:rPr>
                <w:noProof/>
              </w:rPr>
            </w:r>
            <w:r w:rsidR="007D1264">
              <w:rPr>
                <w:noProof/>
              </w:rPr>
              <w:fldChar w:fldCharType="separate"/>
            </w:r>
            <w:r w:rsidR="007D1264">
              <w:rPr>
                <w:noProof/>
              </w:rPr>
              <w:t>11</w:t>
            </w:r>
            <w:r w:rsidR="007D1264">
              <w:rPr>
                <w:noProof/>
              </w:rPr>
              <w:fldChar w:fldCharType="end"/>
            </w:r>
          </w:hyperlink>
        </w:p>
        <w:p w14:paraId="2BF3953B" w14:textId="46099440" w:rsidR="007D1264" w:rsidRDefault="005A0D65">
          <w:pPr>
            <w:pStyle w:val="TOC1"/>
            <w:tabs>
              <w:tab w:val="right" w:leader="dot" w:pos="9035"/>
            </w:tabs>
            <w:rPr>
              <w:noProof/>
            </w:rPr>
          </w:pPr>
          <w:hyperlink w:anchor="_Toc43536">
            <w:r w:rsidR="007D1264">
              <w:rPr>
                <w:noProof/>
              </w:rPr>
              <w:t>9.</w:t>
            </w:r>
            <w:r w:rsidR="007D1264">
              <w:rPr>
                <w:rFonts w:ascii="Calibri" w:eastAsia="Calibri" w:hAnsi="Calibri" w:cs="Calibri"/>
                <w:noProof/>
              </w:rPr>
              <w:t xml:space="preserve">  </w:t>
            </w:r>
            <w:r w:rsidR="007D1264">
              <w:rPr>
                <w:noProof/>
              </w:rPr>
              <w:t>CONTINUOUS IMPROVEMENT</w:t>
            </w:r>
            <w:r w:rsidR="007D1264">
              <w:rPr>
                <w:noProof/>
              </w:rPr>
              <w:tab/>
            </w:r>
            <w:r w:rsidR="007D1264">
              <w:rPr>
                <w:noProof/>
              </w:rPr>
              <w:fldChar w:fldCharType="begin"/>
            </w:r>
            <w:r w:rsidR="007D1264">
              <w:rPr>
                <w:noProof/>
              </w:rPr>
              <w:instrText>PAGEREF _Toc43536 \h</w:instrText>
            </w:r>
            <w:r w:rsidR="007D1264">
              <w:rPr>
                <w:noProof/>
              </w:rPr>
            </w:r>
            <w:r w:rsidR="007D1264">
              <w:rPr>
                <w:noProof/>
              </w:rPr>
              <w:fldChar w:fldCharType="separate"/>
            </w:r>
            <w:r w:rsidR="007D1264">
              <w:rPr>
                <w:noProof/>
              </w:rPr>
              <w:t>12</w:t>
            </w:r>
            <w:r w:rsidR="007D1264">
              <w:rPr>
                <w:noProof/>
              </w:rPr>
              <w:fldChar w:fldCharType="end"/>
            </w:r>
          </w:hyperlink>
        </w:p>
        <w:p w14:paraId="3AB0C8E8" w14:textId="1A4702B4" w:rsidR="007D1264" w:rsidRDefault="005A0D65">
          <w:pPr>
            <w:pStyle w:val="TOC1"/>
            <w:tabs>
              <w:tab w:val="right" w:leader="dot" w:pos="9035"/>
            </w:tabs>
            <w:rPr>
              <w:noProof/>
            </w:rPr>
          </w:pPr>
          <w:hyperlink w:anchor="_Toc43537">
            <w:r w:rsidR="007D1264">
              <w:rPr>
                <w:noProof/>
              </w:rPr>
              <w:t>10.</w:t>
            </w:r>
            <w:r w:rsidR="007D1264">
              <w:rPr>
                <w:rFonts w:ascii="Calibri" w:eastAsia="Calibri" w:hAnsi="Calibri" w:cs="Calibri"/>
                <w:noProof/>
              </w:rPr>
              <w:t xml:space="preserve">  </w:t>
            </w:r>
            <w:r w:rsidR="007D1264">
              <w:rPr>
                <w:noProof/>
              </w:rPr>
              <w:t>QUALITY</w:t>
            </w:r>
            <w:r w:rsidR="007D1264">
              <w:rPr>
                <w:noProof/>
              </w:rPr>
              <w:tab/>
            </w:r>
            <w:r w:rsidR="007D1264">
              <w:rPr>
                <w:noProof/>
              </w:rPr>
              <w:fldChar w:fldCharType="begin"/>
            </w:r>
            <w:r w:rsidR="007D1264">
              <w:rPr>
                <w:noProof/>
              </w:rPr>
              <w:instrText>PAGEREF _Toc43537 \h</w:instrText>
            </w:r>
            <w:r w:rsidR="007D1264">
              <w:rPr>
                <w:noProof/>
              </w:rPr>
            </w:r>
            <w:r w:rsidR="007D1264">
              <w:rPr>
                <w:noProof/>
              </w:rPr>
              <w:fldChar w:fldCharType="separate"/>
            </w:r>
            <w:r w:rsidR="007D1264">
              <w:rPr>
                <w:noProof/>
              </w:rPr>
              <w:t>13</w:t>
            </w:r>
            <w:r w:rsidR="007D1264">
              <w:rPr>
                <w:noProof/>
              </w:rPr>
              <w:fldChar w:fldCharType="end"/>
            </w:r>
          </w:hyperlink>
        </w:p>
        <w:p w14:paraId="2B184945" w14:textId="316DE47D" w:rsidR="007D1264" w:rsidRDefault="005A0D65">
          <w:pPr>
            <w:pStyle w:val="TOC1"/>
            <w:tabs>
              <w:tab w:val="right" w:leader="dot" w:pos="9035"/>
            </w:tabs>
            <w:rPr>
              <w:noProof/>
            </w:rPr>
          </w:pPr>
          <w:hyperlink w:anchor="_Toc43538">
            <w:r w:rsidR="007D1264">
              <w:rPr>
                <w:noProof/>
              </w:rPr>
              <w:t>11.</w:t>
            </w:r>
            <w:r w:rsidR="007D1264">
              <w:rPr>
                <w:rFonts w:ascii="Calibri" w:eastAsia="Calibri" w:hAnsi="Calibri" w:cs="Calibri"/>
                <w:noProof/>
              </w:rPr>
              <w:t xml:space="preserve">  </w:t>
            </w:r>
            <w:r w:rsidR="007D1264">
              <w:rPr>
                <w:noProof/>
              </w:rPr>
              <w:t>PRICE</w:t>
            </w:r>
            <w:r w:rsidR="007D1264">
              <w:rPr>
                <w:noProof/>
              </w:rPr>
              <w:tab/>
            </w:r>
            <w:r w:rsidR="007D1264">
              <w:rPr>
                <w:noProof/>
              </w:rPr>
              <w:fldChar w:fldCharType="begin"/>
            </w:r>
            <w:r w:rsidR="007D1264">
              <w:rPr>
                <w:noProof/>
              </w:rPr>
              <w:instrText>PAGEREF _Toc43538 \h</w:instrText>
            </w:r>
            <w:r w:rsidR="007D1264">
              <w:rPr>
                <w:noProof/>
              </w:rPr>
            </w:r>
            <w:r w:rsidR="007D1264">
              <w:rPr>
                <w:noProof/>
              </w:rPr>
              <w:fldChar w:fldCharType="separate"/>
            </w:r>
            <w:r w:rsidR="007D1264">
              <w:rPr>
                <w:noProof/>
              </w:rPr>
              <w:t>13</w:t>
            </w:r>
            <w:r w:rsidR="007D1264">
              <w:rPr>
                <w:noProof/>
              </w:rPr>
              <w:fldChar w:fldCharType="end"/>
            </w:r>
          </w:hyperlink>
        </w:p>
        <w:p w14:paraId="5DBF9F80" w14:textId="5CED5D8D" w:rsidR="007D1264" w:rsidRDefault="005A0D65">
          <w:pPr>
            <w:pStyle w:val="TOC1"/>
            <w:tabs>
              <w:tab w:val="right" w:leader="dot" w:pos="9035"/>
            </w:tabs>
            <w:rPr>
              <w:noProof/>
            </w:rPr>
          </w:pPr>
          <w:hyperlink w:anchor="_Toc43539">
            <w:r w:rsidR="007D1264">
              <w:rPr>
                <w:noProof/>
              </w:rPr>
              <w:t>12.</w:t>
            </w:r>
            <w:r w:rsidR="007D1264">
              <w:rPr>
                <w:rFonts w:ascii="Calibri" w:eastAsia="Calibri" w:hAnsi="Calibri" w:cs="Calibri"/>
                <w:noProof/>
              </w:rPr>
              <w:t xml:space="preserve">  </w:t>
            </w:r>
            <w:r w:rsidR="007D1264">
              <w:rPr>
                <w:noProof/>
              </w:rPr>
              <w:t>STAFF AND CUSTOMER SERVICE</w:t>
            </w:r>
            <w:r w:rsidR="007D1264">
              <w:rPr>
                <w:noProof/>
              </w:rPr>
              <w:tab/>
            </w:r>
            <w:r w:rsidR="007D1264">
              <w:rPr>
                <w:noProof/>
              </w:rPr>
              <w:fldChar w:fldCharType="begin"/>
            </w:r>
            <w:r w:rsidR="007D1264">
              <w:rPr>
                <w:noProof/>
              </w:rPr>
              <w:instrText>PAGEREF _Toc43539 \h</w:instrText>
            </w:r>
            <w:r w:rsidR="007D1264">
              <w:rPr>
                <w:noProof/>
              </w:rPr>
            </w:r>
            <w:r w:rsidR="007D1264">
              <w:rPr>
                <w:noProof/>
              </w:rPr>
              <w:fldChar w:fldCharType="separate"/>
            </w:r>
            <w:r w:rsidR="007D1264">
              <w:rPr>
                <w:noProof/>
              </w:rPr>
              <w:t>14</w:t>
            </w:r>
            <w:r w:rsidR="007D1264">
              <w:rPr>
                <w:noProof/>
              </w:rPr>
              <w:fldChar w:fldCharType="end"/>
            </w:r>
          </w:hyperlink>
        </w:p>
        <w:p w14:paraId="1B56DDA0" w14:textId="7F642B97" w:rsidR="007D1264" w:rsidRDefault="005A0D65">
          <w:pPr>
            <w:pStyle w:val="TOC1"/>
            <w:tabs>
              <w:tab w:val="right" w:leader="dot" w:pos="9035"/>
            </w:tabs>
            <w:rPr>
              <w:noProof/>
            </w:rPr>
          </w:pPr>
          <w:hyperlink w:anchor="_Toc43540">
            <w:r w:rsidR="007D1264">
              <w:rPr>
                <w:noProof/>
              </w:rPr>
              <w:t>13.</w:t>
            </w:r>
            <w:r w:rsidR="007D1264">
              <w:rPr>
                <w:rFonts w:ascii="Calibri" w:eastAsia="Calibri" w:hAnsi="Calibri" w:cs="Calibri"/>
                <w:noProof/>
              </w:rPr>
              <w:t xml:space="preserve">  </w:t>
            </w:r>
            <w:r w:rsidR="007D1264">
              <w:rPr>
                <w:noProof/>
              </w:rPr>
              <w:t>SERVICE LEVELS AND PERFORMANCE</w:t>
            </w:r>
            <w:r w:rsidR="007D1264">
              <w:rPr>
                <w:noProof/>
              </w:rPr>
              <w:tab/>
            </w:r>
            <w:r w:rsidR="007D1264">
              <w:rPr>
                <w:noProof/>
              </w:rPr>
              <w:fldChar w:fldCharType="begin"/>
            </w:r>
            <w:r w:rsidR="007D1264">
              <w:rPr>
                <w:noProof/>
              </w:rPr>
              <w:instrText>PAGEREF _Toc43540 \h</w:instrText>
            </w:r>
            <w:r w:rsidR="007D1264">
              <w:rPr>
                <w:noProof/>
              </w:rPr>
            </w:r>
            <w:r w:rsidR="007D1264">
              <w:rPr>
                <w:noProof/>
              </w:rPr>
              <w:fldChar w:fldCharType="separate"/>
            </w:r>
            <w:r w:rsidR="007D1264">
              <w:rPr>
                <w:noProof/>
              </w:rPr>
              <w:t>14</w:t>
            </w:r>
            <w:r w:rsidR="007D1264">
              <w:rPr>
                <w:noProof/>
              </w:rPr>
              <w:fldChar w:fldCharType="end"/>
            </w:r>
          </w:hyperlink>
        </w:p>
        <w:p w14:paraId="6E80FAB8" w14:textId="4D00E52C" w:rsidR="007D1264" w:rsidRDefault="005A0D65">
          <w:pPr>
            <w:pStyle w:val="TOC1"/>
            <w:tabs>
              <w:tab w:val="right" w:leader="dot" w:pos="9035"/>
            </w:tabs>
            <w:rPr>
              <w:noProof/>
            </w:rPr>
          </w:pPr>
          <w:hyperlink w:anchor="_Toc43541">
            <w:r w:rsidR="007D1264">
              <w:rPr>
                <w:noProof/>
              </w:rPr>
              <w:t>14.</w:t>
            </w:r>
            <w:r w:rsidR="007D1264">
              <w:rPr>
                <w:rFonts w:ascii="Calibri" w:eastAsia="Calibri" w:hAnsi="Calibri" w:cs="Calibri"/>
                <w:noProof/>
              </w:rPr>
              <w:t xml:space="preserve">  </w:t>
            </w:r>
            <w:r w:rsidR="007D1264">
              <w:rPr>
                <w:noProof/>
              </w:rPr>
              <w:t>SECURITY AND CONFIDENTIALITY REQUIREMENTS</w:t>
            </w:r>
            <w:r w:rsidR="007D1264">
              <w:rPr>
                <w:noProof/>
              </w:rPr>
              <w:tab/>
            </w:r>
            <w:r w:rsidR="007D1264">
              <w:rPr>
                <w:noProof/>
              </w:rPr>
              <w:fldChar w:fldCharType="begin"/>
            </w:r>
            <w:r w:rsidR="007D1264">
              <w:rPr>
                <w:noProof/>
              </w:rPr>
              <w:instrText>PAGEREF _Toc43541 \h</w:instrText>
            </w:r>
            <w:r w:rsidR="007D1264">
              <w:rPr>
                <w:noProof/>
              </w:rPr>
            </w:r>
            <w:r w:rsidR="007D1264">
              <w:rPr>
                <w:noProof/>
              </w:rPr>
              <w:fldChar w:fldCharType="separate"/>
            </w:r>
            <w:r w:rsidR="007D1264">
              <w:rPr>
                <w:noProof/>
              </w:rPr>
              <w:t>14</w:t>
            </w:r>
            <w:r w:rsidR="007D1264">
              <w:rPr>
                <w:noProof/>
              </w:rPr>
              <w:fldChar w:fldCharType="end"/>
            </w:r>
          </w:hyperlink>
        </w:p>
        <w:p w14:paraId="651F5C81" w14:textId="21125ECA" w:rsidR="007D1264" w:rsidRDefault="005A0D65">
          <w:pPr>
            <w:pStyle w:val="TOC1"/>
            <w:tabs>
              <w:tab w:val="right" w:leader="dot" w:pos="9035"/>
            </w:tabs>
            <w:rPr>
              <w:noProof/>
            </w:rPr>
          </w:pPr>
          <w:hyperlink w:anchor="_Toc43542">
            <w:r w:rsidR="007D1264">
              <w:rPr>
                <w:noProof/>
              </w:rPr>
              <w:t>15.</w:t>
            </w:r>
            <w:r w:rsidR="007D1264">
              <w:rPr>
                <w:rFonts w:ascii="Calibri" w:eastAsia="Calibri" w:hAnsi="Calibri" w:cs="Calibri"/>
                <w:noProof/>
              </w:rPr>
              <w:t xml:space="preserve">  </w:t>
            </w:r>
            <w:r w:rsidR="007D1264">
              <w:rPr>
                <w:noProof/>
              </w:rPr>
              <w:t>PAYMENT AND INVOICING</w:t>
            </w:r>
            <w:r w:rsidR="007D1264">
              <w:rPr>
                <w:noProof/>
              </w:rPr>
              <w:tab/>
            </w:r>
            <w:r w:rsidR="007D1264">
              <w:rPr>
                <w:noProof/>
              </w:rPr>
              <w:fldChar w:fldCharType="begin"/>
            </w:r>
            <w:r w:rsidR="007D1264">
              <w:rPr>
                <w:noProof/>
              </w:rPr>
              <w:instrText>PAGEREF _Toc43542 \h</w:instrText>
            </w:r>
            <w:r w:rsidR="007D1264">
              <w:rPr>
                <w:noProof/>
              </w:rPr>
            </w:r>
            <w:r w:rsidR="007D1264">
              <w:rPr>
                <w:noProof/>
              </w:rPr>
              <w:fldChar w:fldCharType="separate"/>
            </w:r>
            <w:r w:rsidR="007D1264">
              <w:rPr>
                <w:noProof/>
              </w:rPr>
              <w:t>15</w:t>
            </w:r>
            <w:r w:rsidR="007D1264">
              <w:rPr>
                <w:noProof/>
              </w:rPr>
              <w:fldChar w:fldCharType="end"/>
            </w:r>
          </w:hyperlink>
        </w:p>
        <w:p w14:paraId="7F2C9DD9" w14:textId="1835A6D0" w:rsidR="007D1264" w:rsidRDefault="005A0D65">
          <w:pPr>
            <w:pStyle w:val="TOC1"/>
            <w:tabs>
              <w:tab w:val="right" w:leader="dot" w:pos="9035"/>
            </w:tabs>
            <w:rPr>
              <w:noProof/>
            </w:rPr>
          </w:pPr>
          <w:hyperlink w:anchor="_Toc43543">
            <w:r w:rsidR="007D1264">
              <w:rPr>
                <w:noProof/>
              </w:rPr>
              <w:t>16.</w:t>
            </w:r>
            <w:r w:rsidR="007D1264">
              <w:rPr>
                <w:rFonts w:ascii="Calibri" w:eastAsia="Calibri" w:hAnsi="Calibri" w:cs="Calibri"/>
                <w:noProof/>
              </w:rPr>
              <w:t xml:space="preserve">  </w:t>
            </w:r>
            <w:r w:rsidR="007D1264">
              <w:rPr>
                <w:noProof/>
              </w:rPr>
              <w:t>CONTRACT MANAGEMENT</w:t>
            </w:r>
            <w:r w:rsidR="007D1264">
              <w:rPr>
                <w:noProof/>
              </w:rPr>
              <w:tab/>
            </w:r>
            <w:r w:rsidR="007D1264">
              <w:rPr>
                <w:noProof/>
              </w:rPr>
              <w:fldChar w:fldCharType="begin"/>
            </w:r>
            <w:r w:rsidR="007D1264">
              <w:rPr>
                <w:noProof/>
              </w:rPr>
              <w:instrText>PAGEREF _Toc43543 \h</w:instrText>
            </w:r>
            <w:r w:rsidR="007D1264">
              <w:rPr>
                <w:noProof/>
              </w:rPr>
            </w:r>
            <w:r w:rsidR="007D1264">
              <w:rPr>
                <w:noProof/>
              </w:rPr>
              <w:fldChar w:fldCharType="separate"/>
            </w:r>
            <w:r w:rsidR="007D1264">
              <w:rPr>
                <w:noProof/>
              </w:rPr>
              <w:t>16</w:t>
            </w:r>
            <w:r w:rsidR="007D1264">
              <w:rPr>
                <w:noProof/>
              </w:rPr>
              <w:fldChar w:fldCharType="end"/>
            </w:r>
          </w:hyperlink>
        </w:p>
        <w:p w14:paraId="6DB077A1" w14:textId="78A6AF00" w:rsidR="007D1264" w:rsidRDefault="005A0D65">
          <w:pPr>
            <w:pStyle w:val="TOC1"/>
            <w:tabs>
              <w:tab w:val="right" w:leader="dot" w:pos="9035"/>
            </w:tabs>
            <w:rPr>
              <w:noProof/>
            </w:rPr>
          </w:pPr>
          <w:hyperlink w:anchor="_Toc43544">
            <w:r w:rsidR="007D1264">
              <w:rPr>
                <w:noProof/>
              </w:rPr>
              <w:t>17.</w:t>
            </w:r>
            <w:r w:rsidR="007D1264">
              <w:rPr>
                <w:rFonts w:ascii="Calibri" w:eastAsia="Calibri" w:hAnsi="Calibri" w:cs="Calibri"/>
                <w:noProof/>
              </w:rPr>
              <w:t xml:space="preserve">  </w:t>
            </w:r>
            <w:r w:rsidR="007D1264">
              <w:rPr>
                <w:noProof/>
              </w:rPr>
              <w:t>LOCATION</w:t>
            </w:r>
            <w:r w:rsidR="007D1264">
              <w:rPr>
                <w:noProof/>
              </w:rPr>
              <w:tab/>
            </w:r>
            <w:r w:rsidR="007D1264">
              <w:rPr>
                <w:noProof/>
              </w:rPr>
              <w:fldChar w:fldCharType="begin"/>
            </w:r>
            <w:r w:rsidR="007D1264">
              <w:rPr>
                <w:noProof/>
              </w:rPr>
              <w:instrText>PAGEREF _Toc43544 \h</w:instrText>
            </w:r>
            <w:r w:rsidR="007D1264">
              <w:rPr>
                <w:noProof/>
              </w:rPr>
            </w:r>
            <w:r w:rsidR="007D1264">
              <w:rPr>
                <w:noProof/>
              </w:rPr>
              <w:fldChar w:fldCharType="separate"/>
            </w:r>
            <w:r w:rsidR="007D1264">
              <w:rPr>
                <w:noProof/>
              </w:rPr>
              <w:t>17</w:t>
            </w:r>
            <w:r w:rsidR="007D1264">
              <w:rPr>
                <w:noProof/>
              </w:rPr>
              <w:fldChar w:fldCharType="end"/>
            </w:r>
          </w:hyperlink>
        </w:p>
        <w:p w14:paraId="25EA479D" w14:textId="49C2E6F1" w:rsidR="007D1264" w:rsidRDefault="005A0D65">
          <w:pPr>
            <w:pStyle w:val="TOC1"/>
            <w:tabs>
              <w:tab w:val="right" w:leader="dot" w:pos="9035"/>
            </w:tabs>
            <w:rPr>
              <w:noProof/>
            </w:rPr>
          </w:pPr>
          <w:hyperlink w:anchor="_Toc43545">
            <w:r w:rsidR="007D1264">
              <w:rPr>
                <w:noProof/>
              </w:rPr>
              <w:t>18.</w:t>
            </w:r>
            <w:r w:rsidR="007D1264">
              <w:rPr>
                <w:rFonts w:ascii="Calibri" w:eastAsia="Calibri" w:hAnsi="Calibri" w:cs="Calibri"/>
                <w:noProof/>
              </w:rPr>
              <w:t xml:space="preserve">  </w:t>
            </w:r>
            <w:r w:rsidR="007D1264">
              <w:rPr>
                <w:noProof/>
              </w:rPr>
              <w:t>TUPE</w:t>
            </w:r>
            <w:r w:rsidR="007D1264">
              <w:rPr>
                <w:noProof/>
              </w:rPr>
              <w:tab/>
            </w:r>
            <w:r w:rsidR="007D1264">
              <w:rPr>
                <w:noProof/>
              </w:rPr>
              <w:fldChar w:fldCharType="begin"/>
            </w:r>
            <w:r w:rsidR="007D1264">
              <w:rPr>
                <w:noProof/>
              </w:rPr>
              <w:instrText>PAGEREF _Toc43545 \h</w:instrText>
            </w:r>
            <w:r w:rsidR="007D1264">
              <w:rPr>
                <w:noProof/>
              </w:rPr>
            </w:r>
            <w:r w:rsidR="007D1264">
              <w:rPr>
                <w:noProof/>
              </w:rPr>
              <w:fldChar w:fldCharType="separate"/>
            </w:r>
            <w:r w:rsidR="007D1264">
              <w:rPr>
                <w:noProof/>
              </w:rPr>
              <w:t>17</w:t>
            </w:r>
            <w:r w:rsidR="007D1264">
              <w:rPr>
                <w:noProof/>
              </w:rPr>
              <w:fldChar w:fldCharType="end"/>
            </w:r>
          </w:hyperlink>
        </w:p>
        <w:p w14:paraId="27CA09B5" w14:textId="77777777" w:rsidR="007D1264" w:rsidRDefault="007D1264">
          <w:r>
            <w:fldChar w:fldCharType="end"/>
          </w:r>
        </w:p>
      </w:sdtContent>
    </w:sdt>
    <w:p w14:paraId="0CE33D06" w14:textId="77777777" w:rsidR="007D1264" w:rsidRDefault="007D1264">
      <w:pPr>
        <w:spacing w:after="100" w:line="259" w:lineRule="auto"/>
        <w:ind w:left="57"/>
        <w:jc w:val="center"/>
      </w:pPr>
      <w:r>
        <w:rPr>
          <w:rFonts w:ascii="Arial" w:eastAsia="Arial" w:hAnsi="Arial" w:cs="Arial"/>
          <w:b/>
        </w:rPr>
        <w:t xml:space="preserve"> </w:t>
      </w:r>
    </w:p>
    <w:p w14:paraId="04A8C19C" w14:textId="77777777" w:rsidR="007D1264" w:rsidRDefault="007D1264">
      <w:pPr>
        <w:spacing w:after="38" w:line="259" w:lineRule="auto"/>
        <w:ind w:left="196"/>
        <w:jc w:val="center"/>
      </w:pPr>
      <w:r>
        <w:rPr>
          <w:rFonts w:ascii="Arial" w:eastAsia="Arial" w:hAnsi="Arial" w:cs="Arial"/>
          <w:b/>
        </w:rPr>
        <w:t xml:space="preserve"> </w:t>
      </w:r>
    </w:p>
    <w:p w14:paraId="59183A83" w14:textId="77777777" w:rsidR="007D1264" w:rsidRDefault="007D1264">
      <w:pPr>
        <w:spacing w:after="0" w:line="259" w:lineRule="auto"/>
        <w:ind w:left="720"/>
      </w:pPr>
      <w:r>
        <w:rPr>
          <w:rFonts w:ascii="Arial" w:eastAsia="Arial" w:hAnsi="Arial" w:cs="Arial"/>
          <w:b/>
        </w:rPr>
        <w:t xml:space="preserve"> </w:t>
      </w:r>
      <w:r>
        <w:rPr>
          <w:rFonts w:ascii="Arial" w:eastAsia="Arial" w:hAnsi="Arial" w:cs="Arial"/>
          <w:b/>
        </w:rPr>
        <w:tab/>
        <w:t xml:space="preserve"> </w:t>
      </w:r>
    </w:p>
    <w:p w14:paraId="1189A050" w14:textId="77777777" w:rsidR="007D1264" w:rsidRDefault="007D1264">
      <w:pPr>
        <w:pStyle w:val="Heading1"/>
        <w:tabs>
          <w:tab w:val="center" w:pos="1500"/>
        </w:tabs>
        <w:ind w:left="-3"/>
      </w:pPr>
      <w:bookmarkStart w:id="1" w:name="_Toc43528"/>
      <w:r>
        <w:t xml:space="preserve">1. </w:t>
      </w:r>
      <w:r>
        <w:tab/>
        <w:t xml:space="preserve">PURPOSE </w:t>
      </w:r>
      <w:bookmarkEnd w:id="1"/>
    </w:p>
    <w:p w14:paraId="67D7E60A" w14:textId="77777777" w:rsidR="007D1264" w:rsidRDefault="007D1264">
      <w:pPr>
        <w:spacing w:after="0"/>
        <w:ind w:left="1852" w:hanging="720"/>
      </w:pPr>
      <w:r>
        <w:t xml:space="preserve">1.1 The Home Office is seeking to set up a long-term competitively tendered contract with a Provider to become a Strategic Recruitment Partner, assisting as necessary, with permanent and temporary civil servant recruitment for bulk campaigns including Border Force </w:t>
      </w:r>
    </w:p>
    <w:p w14:paraId="60A10AB0" w14:textId="77777777" w:rsidR="007D1264" w:rsidRDefault="007D1264">
      <w:pPr>
        <w:spacing w:after="305"/>
        <w:ind w:left="1855"/>
      </w:pPr>
      <w:r>
        <w:t xml:space="preserve">Officers/Apprentices, Asylum Decision Makers and Passport Officers. </w:t>
      </w:r>
    </w:p>
    <w:p w14:paraId="1D23E1D9" w14:textId="77777777" w:rsidR="007D1264" w:rsidRDefault="007D1264">
      <w:pPr>
        <w:pStyle w:val="Heading1"/>
        <w:tabs>
          <w:tab w:val="center" w:pos="4727"/>
        </w:tabs>
        <w:ind w:left="-3"/>
      </w:pPr>
      <w:bookmarkStart w:id="2" w:name="_Toc43529"/>
      <w:r>
        <w:lastRenderedPageBreak/>
        <w:t xml:space="preserve">2. </w:t>
      </w:r>
      <w:r>
        <w:tab/>
        <w:t xml:space="preserve">BACKGROUND TO THE CONTRACTING AUTHORITY </w:t>
      </w:r>
      <w:bookmarkEnd w:id="2"/>
    </w:p>
    <w:p w14:paraId="049C087E" w14:textId="77777777" w:rsidR="007D1264" w:rsidRDefault="007D1264">
      <w:pPr>
        <w:ind w:left="1852" w:right="11" w:hanging="720"/>
      </w:pPr>
      <w:r>
        <w:t xml:space="preserve">2.1 The Home Office is a ministerial department and the lead government department for immigration and passports, drugs policy, counterterrorism and police and has around 28,000 employees based in offices across the UK and internationally.   </w:t>
      </w:r>
    </w:p>
    <w:p w14:paraId="70FE8843" w14:textId="77777777" w:rsidR="007D1264" w:rsidRDefault="007D1264">
      <w:pPr>
        <w:spacing w:after="0"/>
        <w:ind w:left="1852" w:hanging="720"/>
      </w:pPr>
      <w:r>
        <w:t xml:space="preserve">2.2 </w:t>
      </w:r>
      <w:r>
        <w:tab/>
        <w:t xml:space="preserve">For more information on the structure and areas of responsibility that the Home Office covers visit </w:t>
      </w:r>
    </w:p>
    <w:p w14:paraId="6FBE5EE9" w14:textId="77777777" w:rsidR="007D1264" w:rsidRDefault="005A0D65">
      <w:pPr>
        <w:spacing w:after="218" w:line="259" w:lineRule="auto"/>
        <w:ind w:left="1855"/>
      </w:pPr>
      <w:hyperlink r:id="rId13">
        <w:r w:rsidR="007D1264">
          <w:rPr>
            <w:color w:val="0000FF"/>
            <w:u w:val="single" w:color="0000FF"/>
          </w:rPr>
          <w:t>https://www.gov.uk/government/organisations/home</w:t>
        </w:r>
      </w:hyperlink>
      <w:hyperlink r:id="rId14">
        <w:r w:rsidR="007D1264">
          <w:rPr>
            <w:color w:val="0000FF"/>
            <w:u w:val="single" w:color="0000FF"/>
          </w:rPr>
          <w:t>-</w:t>
        </w:r>
      </w:hyperlink>
      <w:hyperlink r:id="rId15">
        <w:r w:rsidR="007D1264">
          <w:rPr>
            <w:color w:val="0000FF"/>
            <w:u w:val="single" w:color="0000FF"/>
          </w:rPr>
          <w:t>office</w:t>
        </w:r>
      </w:hyperlink>
      <w:hyperlink r:id="rId16">
        <w:r w:rsidR="007D1264">
          <w:t xml:space="preserve"> </w:t>
        </w:r>
      </w:hyperlink>
    </w:p>
    <w:p w14:paraId="754BF220" w14:textId="77777777" w:rsidR="007D1264" w:rsidRDefault="007D1264">
      <w:pPr>
        <w:ind w:left="1852" w:right="1" w:hanging="720"/>
      </w:pPr>
      <w:r>
        <w:t xml:space="preserve">2.3 The Home Secretary is the secretary of state responsible for the Home Office; the Permanent Secretaries are the senior civil servants ensuring the organisation achieves the Departmental goals.   </w:t>
      </w:r>
    </w:p>
    <w:p w14:paraId="7D949B99" w14:textId="77777777" w:rsidR="007D1264" w:rsidRDefault="007D1264">
      <w:pPr>
        <w:tabs>
          <w:tab w:val="center" w:pos="1302"/>
          <w:tab w:val="right" w:pos="9035"/>
        </w:tabs>
        <w:spacing w:after="10"/>
      </w:pPr>
      <w:r>
        <w:rPr>
          <w:rFonts w:cs="Calibri"/>
        </w:rPr>
        <w:tab/>
      </w:r>
      <w:r>
        <w:t xml:space="preserve">2.4 </w:t>
      </w:r>
      <w:r>
        <w:tab/>
        <w:t xml:space="preserve">The Home Office manages its recruitment through the Home Office </w:t>
      </w:r>
    </w:p>
    <w:p w14:paraId="49224507" w14:textId="77777777" w:rsidR="007D1264" w:rsidRDefault="007D1264">
      <w:pPr>
        <w:ind w:left="1855"/>
      </w:pPr>
      <w:r>
        <w:t xml:space="preserve">Resourcing Centre – a central unit within Home Office HR. The Provider will report to this unit. </w:t>
      </w:r>
    </w:p>
    <w:p w14:paraId="42BEEE8A" w14:textId="77777777" w:rsidR="007D1264" w:rsidRDefault="007D1264">
      <w:pPr>
        <w:spacing w:after="305"/>
        <w:ind w:left="1852" w:right="8" w:hanging="720"/>
      </w:pPr>
      <w:r>
        <w:t xml:space="preserve">2.5 The Home Office recruits across the country to a wide range of roles in generic and more specialist areas and on both a permanent and temporary basis.  </w:t>
      </w:r>
    </w:p>
    <w:p w14:paraId="31D20B89" w14:textId="77777777" w:rsidR="007D1264" w:rsidRDefault="007D1264">
      <w:pPr>
        <w:pStyle w:val="Heading1"/>
        <w:ind w:left="717" w:hanging="720"/>
      </w:pPr>
      <w:bookmarkStart w:id="3" w:name="_Toc43530"/>
      <w:r>
        <w:t xml:space="preserve">3. </w:t>
      </w:r>
      <w:r>
        <w:tab/>
        <w:t xml:space="preserve">BACKGROUND TO REQUIREMENT/OVERVIEW OF REQUIREMENT </w:t>
      </w:r>
      <w:bookmarkEnd w:id="3"/>
    </w:p>
    <w:p w14:paraId="621153B8" w14:textId="77777777" w:rsidR="007D1264" w:rsidRDefault="007D1264">
      <w:pPr>
        <w:spacing w:after="228" w:line="251" w:lineRule="auto"/>
        <w:ind w:left="190" w:right="-13" w:hanging="190"/>
        <w:jc w:val="right"/>
      </w:pPr>
      <w:r>
        <w:t xml:space="preserve">3.1 </w:t>
      </w:r>
      <w:r>
        <w:tab/>
        <w:t xml:space="preserve">The Home Office wishes to procure a long-term competitively tendered contract with a Permanent Recruitment Provider experienced in nationwide bulk recruitment campaigns to continue with high-volume permanent recruitment campaigns. </w:t>
      </w:r>
    </w:p>
    <w:p w14:paraId="4DC5A896" w14:textId="77777777" w:rsidR="007D1264" w:rsidRDefault="007D1264">
      <w:pPr>
        <w:ind w:left="1852" w:right="2" w:hanging="720"/>
      </w:pPr>
      <w:r>
        <w:t xml:space="preserve">3.2 The Provider will be required to conduct high-volume recruitment campaigns particularly for Border Force Officers and Apprentices, Passport Officers, and Asylum Decision Makers, but also for other high-volume roles as required by the Home Office. </w:t>
      </w:r>
    </w:p>
    <w:p w14:paraId="32E16E2A" w14:textId="77777777" w:rsidR="007D1264" w:rsidRDefault="007D1264">
      <w:pPr>
        <w:ind w:left="1852" w:right="2" w:hanging="720"/>
      </w:pPr>
      <w:r>
        <w:t xml:space="preserve">3.3 The Provider must be able to handle specialist recruitment activity where more refined sourcing approaches are required, as well as handling volume applications potentially in the tens of thousands per campaign. Due to the potentially high volume of recruitment work that the Home Office manages, the Provider must be able to offer ‘surge support’ to the Home Office, including administrative and customer service support.  </w:t>
      </w:r>
    </w:p>
    <w:p w14:paraId="0D4C1BC6" w14:textId="77777777" w:rsidR="007D1264" w:rsidRDefault="007D1264">
      <w:pPr>
        <w:ind w:left="1852" w:right="3" w:hanging="720"/>
      </w:pPr>
      <w:r>
        <w:t xml:space="preserve">3.4 The Provider must supply an Applicant Tracking System (ATS) which reflects the Home Office branding and user experience, enabling the seamless passage of candidates through the process. Additionally, the Home Office may require changes to the ATS to be made a short notice, and thus the ownership/licencing </w:t>
      </w:r>
      <w:r>
        <w:lastRenderedPageBreak/>
        <w:t xml:space="preserve">of such system should be flexible in nature. The Provider must be able to provide access to digital based testing (i.e., gamification for sifting), an online video interview platform; trained assessors to support Home Office requests for external assessors during the selection process, access to occupational psychology services to assess and validate assessment procedures/tests and diversity &amp; inclusion data generated from recruitment.  </w:t>
      </w:r>
    </w:p>
    <w:p w14:paraId="3BD23E97" w14:textId="77777777" w:rsidR="007D1264" w:rsidRDefault="007D1264">
      <w:pPr>
        <w:ind w:left="1852" w:right="4" w:hanging="720"/>
      </w:pPr>
      <w:r>
        <w:t xml:space="preserve">3.5 The Provider must provide media and marketing requirements used to support the recruitment activity for high-volume permanent recruitment campaigns. This should include: </w:t>
      </w:r>
    </w:p>
    <w:p w14:paraId="0BB80186" w14:textId="77777777" w:rsidR="007D1264" w:rsidRDefault="007D1264" w:rsidP="007D1264">
      <w:pPr>
        <w:numPr>
          <w:ilvl w:val="0"/>
          <w:numId w:val="4"/>
        </w:numPr>
        <w:spacing w:after="233" w:line="249" w:lineRule="auto"/>
        <w:ind w:right="357" w:hanging="360"/>
        <w:jc w:val="both"/>
      </w:pPr>
      <w:r>
        <w:t xml:space="preserve">Talent and market research  </w:t>
      </w:r>
    </w:p>
    <w:p w14:paraId="2D1F1CEA" w14:textId="77777777" w:rsidR="007D1264" w:rsidRDefault="007D1264" w:rsidP="007D1264">
      <w:pPr>
        <w:numPr>
          <w:ilvl w:val="0"/>
          <w:numId w:val="4"/>
        </w:numPr>
        <w:spacing w:after="233" w:line="249" w:lineRule="auto"/>
        <w:ind w:right="357" w:hanging="360"/>
        <w:jc w:val="both"/>
      </w:pPr>
      <w:r>
        <w:t xml:space="preserve">Brand and campaign strategy development  </w:t>
      </w:r>
    </w:p>
    <w:p w14:paraId="1DA50F6E" w14:textId="77777777" w:rsidR="007D1264" w:rsidRDefault="007D1264" w:rsidP="007D1264">
      <w:pPr>
        <w:numPr>
          <w:ilvl w:val="0"/>
          <w:numId w:val="4"/>
        </w:numPr>
        <w:spacing w:after="233" w:line="249" w:lineRule="auto"/>
        <w:ind w:right="357" w:hanging="360"/>
        <w:jc w:val="both"/>
      </w:pPr>
      <w:r>
        <w:t xml:space="preserve">Delivery with evaluation to determine the efficacy of marketing activity and learn lessons for future activity. </w:t>
      </w:r>
    </w:p>
    <w:p w14:paraId="604DC14E" w14:textId="77777777" w:rsidR="007D1264" w:rsidRDefault="007D1264" w:rsidP="007D1264">
      <w:pPr>
        <w:numPr>
          <w:ilvl w:val="0"/>
          <w:numId w:val="4"/>
        </w:numPr>
        <w:spacing w:after="233" w:line="249" w:lineRule="auto"/>
        <w:ind w:right="357" w:hanging="360"/>
        <w:jc w:val="both"/>
      </w:pPr>
      <w:r>
        <w:t xml:space="preserve">Media Planning &amp; Buying of offline (Posters, DigiVans) and online (LinkedIn, Indeed etc) </w:t>
      </w:r>
    </w:p>
    <w:p w14:paraId="21FDBF14" w14:textId="77777777" w:rsidR="007D1264" w:rsidRDefault="007D1264" w:rsidP="007D1264">
      <w:pPr>
        <w:numPr>
          <w:ilvl w:val="0"/>
          <w:numId w:val="4"/>
        </w:numPr>
        <w:spacing w:after="233" w:line="249" w:lineRule="auto"/>
        <w:ind w:right="357" w:hanging="360"/>
        <w:jc w:val="both"/>
      </w:pPr>
      <w:r>
        <w:t xml:space="preserve">Creative content production </w:t>
      </w:r>
    </w:p>
    <w:p w14:paraId="1E9831C4" w14:textId="77777777" w:rsidR="007D1264" w:rsidRDefault="007D1264" w:rsidP="007D1264">
      <w:pPr>
        <w:numPr>
          <w:ilvl w:val="0"/>
          <w:numId w:val="4"/>
        </w:numPr>
        <w:spacing w:after="233" w:line="249" w:lineRule="auto"/>
        <w:ind w:right="357" w:hanging="360"/>
        <w:jc w:val="both"/>
      </w:pPr>
      <w:r>
        <w:t xml:space="preserve">Support for bespoke recruitment events targeting potential candidates. </w:t>
      </w:r>
    </w:p>
    <w:p w14:paraId="4FB9FB54" w14:textId="77777777" w:rsidR="007D1264" w:rsidRDefault="007D1264" w:rsidP="007D1264">
      <w:pPr>
        <w:numPr>
          <w:ilvl w:val="1"/>
          <w:numId w:val="5"/>
        </w:numPr>
        <w:spacing w:after="233" w:line="249" w:lineRule="auto"/>
        <w:ind w:right="4" w:hanging="720"/>
        <w:jc w:val="both"/>
      </w:pPr>
      <w:r>
        <w:t xml:space="preserve">The Provider should have the capability and capacity to support large volumes of applications, potentially into the tens of thousands. The Home Office may ask for experience in this area to be demonstrated. </w:t>
      </w:r>
    </w:p>
    <w:p w14:paraId="2CEB982A" w14:textId="77777777" w:rsidR="007D1264" w:rsidRDefault="007D1264" w:rsidP="007D1264">
      <w:pPr>
        <w:numPr>
          <w:ilvl w:val="1"/>
          <w:numId w:val="5"/>
        </w:numPr>
        <w:spacing w:after="233" w:line="249" w:lineRule="auto"/>
        <w:ind w:right="4" w:hanging="720"/>
        <w:jc w:val="both"/>
      </w:pPr>
      <w:r>
        <w:t xml:space="preserve">The Provider shall commit to binding to the published Metis recruitment interfaces (or the replacement Home Office ATS) for  </w:t>
      </w:r>
    </w:p>
    <w:p w14:paraId="65394425" w14:textId="77777777" w:rsidR="007D1264" w:rsidRDefault="007D1264" w:rsidP="007D1264">
      <w:pPr>
        <w:numPr>
          <w:ilvl w:val="0"/>
          <w:numId w:val="6"/>
        </w:numPr>
        <w:spacing w:after="233" w:line="249" w:lineRule="auto"/>
        <w:ind w:right="357"/>
        <w:jc w:val="both"/>
      </w:pPr>
      <w:r>
        <w:t xml:space="preserve">the publication of new positions to be recruited for, and  </w:t>
      </w:r>
    </w:p>
    <w:p w14:paraId="60F824D1" w14:textId="77777777" w:rsidR="007D1264" w:rsidRDefault="007D1264" w:rsidP="007D1264">
      <w:pPr>
        <w:numPr>
          <w:ilvl w:val="0"/>
          <w:numId w:val="6"/>
        </w:numPr>
        <w:spacing w:after="233" w:line="249" w:lineRule="auto"/>
        <w:ind w:right="357"/>
        <w:jc w:val="both"/>
      </w:pPr>
      <w:r>
        <w:t xml:space="preserve">the submission of successful candidate details within 6 months of the Home Office notifying the Provider that this interface is available for use. </w:t>
      </w:r>
    </w:p>
    <w:p w14:paraId="2AA95CEA" w14:textId="77777777" w:rsidR="007D1264" w:rsidRDefault="007D1264">
      <w:pPr>
        <w:spacing w:after="111"/>
        <w:ind w:left="708" w:hanging="708"/>
      </w:pPr>
      <w:r>
        <w:t xml:space="preserve">3.8 The Provider must work in accordance with the following government policies and acts: </w:t>
      </w:r>
    </w:p>
    <w:p w14:paraId="3E5E4191" w14:textId="77777777" w:rsidR="007D1264" w:rsidRDefault="007D1264" w:rsidP="007D1264">
      <w:pPr>
        <w:numPr>
          <w:ilvl w:val="2"/>
          <w:numId w:val="8"/>
        </w:numPr>
        <w:spacing w:after="233" w:line="249" w:lineRule="auto"/>
        <w:ind w:right="1" w:hanging="1081"/>
        <w:jc w:val="both"/>
      </w:pPr>
      <w:r>
        <w:t xml:space="preserve">Public Services (Social Value) Act 2012. </w:t>
      </w:r>
    </w:p>
    <w:p w14:paraId="4106393C" w14:textId="77777777" w:rsidR="007D1264" w:rsidRDefault="007D1264" w:rsidP="007D1264">
      <w:pPr>
        <w:numPr>
          <w:ilvl w:val="2"/>
          <w:numId w:val="8"/>
        </w:numPr>
        <w:spacing w:after="233" w:line="249" w:lineRule="auto"/>
        <w:ind w:right="1" w:hanging="1081"/>
        <w:jc w:val="both"/>
      </w:pPr>
      <w:r>
        <w:t xml:space="preserve">Theme </w:t>
      </w:r>
      <w:proofErr w:type="gramStart"/>
      <w:r>
        <w:t>4 :</w:t>
      </w:r>
      <w:proofErr w:type="gramEnd"/>
      <w:r>
        <w:t xml:space="preserve"> Equal Opportunities for all with a focus on increasing female, lower socio-economic background, ethnic minority groups, LGBTI+ and Disabled people in the workforce and removing barriers to employment for individuals belonging within these groups. </w:t>
      </w:r>
    </w:p>
    <w:p w14:paraId="26CE794E" w14:textId="77777777" w:rsidR="007D1264" w:rsidRDefault="007D1264" w:rsidP="007D1264">
      <w:pPr>
        <w:numPr>
          <w:ilvl w:val="2"/>
          <w:numId w:val="8"/>
        </w:numPr>
        <w:spacing w:after="241" w:line="240" w:lineRule="auto"/>
        <w:ind w:right="1" w:hanging="1081"/>
        <w:jc w:val="both"/>
      </w:pPr>
      <w:r>
        <w:lastRenderedPageBreak/>
        <w:t>The Civil Service Recruitment Principles -</w:t>
      </w:r>
      <w:hyperlink r:id="rId17">
        <w:r>
          <w:t xml:space="preserve"> </w:t>
        </w:r>
      </w:hyperlink>
      <w:hyperlink r:id="rId18">
        <w:r>
          <w:rPr>
            <w:color w:val="0000FF"/>
            <w:u w:val="single" w:color="0000FF"/>
          </w:rPr>
          <w:t xml:space="preserve">Recruitment Principles </w:t>
        </w:r>
      </w:hyperlink>
      <w:hyperlink r:id="rId19">
        <w:r>
          <w:rPr>
            <w:color w:val="0000FF"/>
            <w:u w:val="single" w:color="0000FF"/>
          </w:rPr>
          <w:t>-</w:t>
        </w:r>
      </w:hyperlink>
      <w:hyperlink r:id="rId20">
        <w:r>
          <w:rPr>
            <w:color w:val="0000FF"/>
          </w:rPr>
          <w:t xml:space="preserve"> </w:t>
        </w:r>
      </w:hyperlink>
      <w:hyperlink r:id="rId21">
        <w:r>
          <w:rPr>
            <w:color w:val="0000FF"/>
            <w:u w:val="single" w:color="0000FF"/>
          </w:rPr>
          <w:t>Civil Service Commission (independent.gov.uk)</w:t>
        </w:r>
      </w:hyperlink>
      <w:hyperlink r:id="rId22">
        <w:r>
          <w:t xml:space="preserve"> </w:t>
        </w:r>
      </w:hyperlink>
    </w:p>
    <w:p w14:paraId="5A107C40" w14:textId="77777777" w:rsidR="007D1264" w:rsidRDefault="007D1264" w:rsidP="007D1264">
      <w:pPr>
        <w:numPr>
          <w:ilvl w:val="1"/>
          <w:numId w:val="7"/>
        </w:numPr>
        <w:spacing w:after="233" w:line="249" w:lineRule="auto"/>
        <w:ind w:right="2" w:hanging="720"/>
        <w:jc w:val="both"/>
      </w:pPr>
      <w:r>
        <w:t xml:space="preserve">Whilst not all the services stated below at Section 5 “The Requirement”, may be required for each recruitment exercise the Provider will need to be able to provide all the following services as required by the Home Office with an agreed breakdown of costs for each element together with an overall end to end cost. </w:t>
      </w:r>
    </w:p>
    <w:p w14:paraId="457B9810" w14:textId="77777777" w:rsidR="007D1264" w:rsidRDefault="007D1264" w:rsidP="007D1264">
      <w:pPr>
        <w:numPr>
          <w:ilvl w:val="1"/>
          <w:numId w:val="7"/>
        </w:numPr>
        <w:spacing w:after="233" w:line="249" w:lineRule="auto"/>
        <w:ind w:right="2" w:hanging="720"/>
        <w:jc w:val="both"/>
      </w:pPr>
      <w:r>
        <w:t xml:space="preserve">The Provider </w:t>
      </w:r>
      <w:r>
        <w:rPr>
          <w:rFonts w:ascii="Arial" w:eastAsia="Arial" w:hAnsi="Arial" w:cs="Arial"/>
          <w:b/>
        </w:rPr>
        <w:t xml:space="preserve">must </w:t>
      </w:r>
      <w:r>
        <w:t>be able to implement the end-to-end recruitment service by 22</w:t>
      </w:r>
      <w:r>
        <w:rPr>
          <w:vertAlign w:val="superscript"/>
        </w:rPr>
        <w:t>nd</w:t>
      </w:r>
      <w:r>
        <w:t xml:space="preserve"> December 2023 at the latest to ensure continuity of service.</w:t>
      </w:r>
      <w:r>
        <w:rPr>
          <w:color w:val="FF0000"/>
        </w:rPr>
        <w:t xml:space="preserve"> </w:t>
      </w:r>
    </w:p>
    <w:p w14:paraId="31857E79" w14:textId="77777777" w:rsidR="007D1264" w:rsidRDefault="007D1264" w:rsidP="007D1264">
      <w:pPr>
        <w:numPr>
          <w:ilvl w:val="1"/>
          <w:numId w:val="7"/>
        </w:numPr>
        <w:spacing w:after="233" w:line="249" w:lineRule="auto"/>
        <w:ind w:right="2" w:hanging="720"/>
        <w:jc w:val="both"/>
      </w:pPr>
      <w:r>
        <w:t>The Provider must be able to offer a full end-to-end recruitment service and candidate support, from campaign setup and candidate attraction through to candidate onboarding and post campaign reporting. This must include carrying out digital Right to Work checks, simplifying the overall recruitment process and reducing handoffs between stakeholders in the recruitment chain.</w:t>
      </w:r>
      <w:r>
        <w:rPr>
          <w:color w:val="FF0000"/>
        </w:rPr>
        <w:t xml:space="preserve"> </w:t>
      </w:r>
    </w:p>
    <w:p w14:paraId="6951A792" w14:textId="77777777" w:rsidR="007D1264" w:rsidRDefault="007D1264" w:rsidP="007D1264">
      <w:pPr>
        <w:numPr>
          <w:ilvl w:val="1"/>
          <w:numId w:val="7"/>
        </w:numPr>
        <w:spacing w:after="10" w:line="249" w:lineRule="auto"/>
        <w:ind w:right="2" w:hanging="720"/>
        <w:jc w:val="both"/>
      </w:pPr>
      <w:r>
        <w:t xml:space="preserve">All tools and technologies used in the recruitment process must meet </w:t>
      </w:r>
    </w:p>
    <w:p w14:paraId="7C966E0B" w14:textId="77777777" w:rsidR="007D1264" w:rsidRDefault="007D1264">
      <w:pPr>
        <w:spacing w:after="241" w:line="240" w:lineRule="auto"/>
        <w:ind w:left="1855" w:right="-13"/>
      </w:pPr>
      <w:r>
        <w:t>WCAG 2.1 standards -</w:t>
      </w:r>
      <w:hyperlink r:id="rId23">
        <w:r>
          <w:t xml:space="preserve"> </w:t>
        </w:r>
      </w:hyperlink>
      <w:hyperlink r:id="rId24">
        <w:r>
          <w:rPr>
            <w:color w:val="0000FF"/>
            <w:u w:val="single" w:color="0000FF"/>
          </w:rPr>
          <w:t xml:space="preserve">Understanding WCAG 2.1 </w:t>
        </w:r>
      </w:hyperlink>
      <w:hyperlink r:id="rId25">
        <w:r>
          <w:rPr>
            <w:color w:val="0000FF"/>
            <w:u w:val="single" w:color="0000FF"/>
          </w:rPr>
          <w:t xml:space="preserve">- </w:t>
        </w:r>
      </w:hyperlink>
      <w:hyperlink r:id="rId26">
        <w:r>
          <w:rPr>
            <w:color w:val="0000FF"/>
            <w:u w:val="single" w:color="0000FF"/>
          </w:rPr>
          <w:t xml:space="preserve">Service Manual </w:t>
        </w:r>
      </w:hyperlink>
      <w:hyperlink r:id="rId27">
        <w:r>
          <w:rPr>
            <w:color w:val="0000FF"/>
            <w:u w:val="single" w:color="0000FF"/>
          </w:rPr>
          <w:t>-</w:t>
        </w:r>
      </w:hyperlink>
      <w:hyperlink r:id="rId28">
        <w:r>
          <w:rPr>
            <w:color w:val="0000FF"/>
          </w:rPr>
          <w:t xml:space="preserve"> </w:t>
        </w:r>
      </w:hyperlink>
      <w:hyperlink r:id="rId29">
        <w:r>
          <w:rPr>
            <w:color w:val="0000FF"/>
            <w:u w:val="single" w:color="0000FF"/>
          </w:rPr>
          <w:t>GOV.UK (www.gov.uk)</w:t>
        </w:r>
      </w:hyperlink>
      <w:hyperlink r:id="rId30">
        <w:r>
          <w:rPr>
            <w:color w:val="FF0000"/>
          </w:rPr>
          <w:t xml:space="preserve"> </w:t>
        </w:r>
      </w:hyperlink>
    </w:p>
    <w:p w14:paraId="32088C51" w14:textId="77777777" w:rsidR="007D1264" w:rsidRDefault="007D1264" w:rsidP="007D1264">
      <w:pPr>
        <w:numPr>
          <w:ilvl w:val="1"/>
          <w:numId w:val="7"/>
        </w:numPr>
        <w:spacing w:after="233" w:line="249" w:lineRule="auto"/>
        <w:ind w:right="2" w:hanging="720"/>
        <w:jc w:val="both"/>
      </w:pPr>
      <w:r>
        <w:t xml:space="preserve">Providers must note that services under this Contract will not be exclusive to the identified Provider. </w:t>
      </w:r>
    </w:p>
    <w:p w14:paraId="0CFBBDB2" w14:textId="77777777" w:rsidR="007D1264" w:rsidRDefault="007D1264" w:rsidP="007D1264">
      <w:pPr>
        <w:numPr>
          <w:ilvl w:val="1"/>
          <w:numId w:val="7"/>
        </w:numPr>
        <w:spacing w:after="233" w:line="249" w:lineRule="auto"/>
        <w:ind w:right="2" w:hanging="720"/>
        <w:jc w:val="both"/>
      </w:pPr>
      <w:r>
        <w:t xml:space="preserve">All relevant supplier staff must have completed the mandatory Civil Service training modules. </w:t>
      </w:r>
    </w:p>
    <w:p w14:paraId="30A906F8" w14:textId="77777777" w:rsidR="007D1264" w:rsidRDefault="007D1264">
      <w:pPr>
        <w:spacing w:after="98" w:line="259" w:lineRule="auto"/>
        <w:ind w:left="708"/>
      </w:pPr>
      <w:r>
        <w:rPr>
          <w:color w:val="FF0000"/>
        </w:rPr>
        <w:t xml:space="preserve"> </w:t>
      </w:r>
    </w:p>
    <w:p w14:paraId="5F7D1F80" w14:textId="77777777" w:rsidR="007D1264" w:rsidRDefault="007D1264">
      <w:pPr>
        <w:spacing w:after="0" w:line="259" w:lineRule="auto"/>
        <w:ind w:left="708"/>
      </w:pPr>
      <w:r>
        <w:rPr>
          <w:color w:val="FF0000"/>
        </w:rPr>
        <w:t xml:space="preserve"> </w:t>
      </w:r>
    </w:p>
    <w:p w14:paraId="5E2E4F4F" w14:textId="77777777" w:rsidR="007D1264" w:rsidRDefault="007D1264">
      <w:pPr>
        <w:pStyle w:val="Heading1"/>
        <w:tabs>
          <w:tab w:val="center" w:pos="1732"/>
        </w:tabs>
        <w:spacing w:after="108"/>
        <w:ind w:left="-3"/>
      </w:pPr>
      <w:bookmarkStart w:id="4" w:name="_Toc43531"/>
      <w:r>
        <w:t xml:space="preserve">4. </w:t>
      </w:r>
      <w:r>
        <w:tab/>
        <w:t xml:space="preserve">DEFINITIONS  </w:t>
      </w:r>
      <w:bookmarkEnd w:id="4"/>
    </w:p>
    <w:p w14:paraId="31A5736D" w14:textId="77777777" w:rsidR="007D1264" w:rsidRDefault="007D1264">
      <w:pPr>
        <w:spacing w:after="0" w:line="259" w:lineRule="auto"/>
      </w:pPr>
      <w:r>
        <w:rPr>
          <w:rFonts w:ascii="Arial" w:eastAsia="Arial" w:hAnsi="Arial" w:cs="Arial"/>
          <w:b/>
          <w:sz w:val="32"/>
        </w:rPr>
        <w:t xml:space="preserve"> </w:t>
      </w:r>
    </w:p>
    <w:tbl>
      <w:tblPr>
        <w:tblStyle w:val="TableGrid0"/>
        <w:tblW w:w="8630" w:type="dxa"/>
        <w:tblInd w:w="726" w:type="dxa"/>
        <w:tblCellMar>
          <w:top w:w="12" w:type="dxa"/>
          <w:left w:w="107" w:type="dxa"/>
          <w:right w:w="43" w:type="dxa"/>
        </w:tblCellMar>
        <w:tblLook w:val="04A0" w:firstRow="1" w:lastRow="0" w:firstColumn="1" w:lastColumn="0" w:noHBand="0" w:noVBand="1"/>
      </w:tblPr>
      <w:tblGrid>
        <w:gridCol w:w="2109"/>
        <w:gridCol w:w="6521"/>
      </w:tblGrid>
      <w:tr w:rsidR="007D1264" w14:paraId="421C6848" w14:textId="77777777">
        <w:trPr>
          <w:trHeight w:val="679"/>
        </w:trPr>
        <w:tc>
          <w:tcPr>
            <w:tcW w:w="2109" w:type="dxa"/>
            <w:tcBorders>
              <w:top w:val="single" w:sz="4" w:space="0" w:color="000000"/>
              <w:left w:val="single" w:sz="4" w:space="0" w:color="000000"/>
              <w:bottom w:val="single" w:sz="4" w:space="0" w:color="000000"/>
              <w:right w:val="single" w:sz="4" w:space="0" w:color="000000"/>
            </w:tcBorders>
            <w:shd w:val="clear" w:color="auto" w:fill="C6D9F1"/>
          </w:tcPr>
          <w:p w14:paraId="3349DB63" w14:textId="77777777" w:rsidR="007D1264" w:rsidRDefault="007D1264">
            <w:pPr>
              <w:spacing w:line="259" w:lineRule="auto"/>
              <w:ind w:left="17" w:hanging="17"/>
            </w:pPr>
            <w:r>
              <w:t xml:space="preserve">Expression or Acronym </w:t>
            </w:r>
          </w:p>
        </w:tc>
        <w:tc>
          <w:tcPr>
            <w:tcW w:w="6521" w:type="dxa"/>
            <w:tcBorders>
              <w:top w:val="single" w:sz="4" w:space="0" w:color="000000"/>
              <w:left w:val="single" w:sz="4" w:space="0" w:color="000000"/>
              <w:bottom w:val="single" w:sz="4" w:space="0" w:color="000000"/>
              <w:right w:val="single" w:sz="4" w:space="0" w:color="000000"/>
            </w:tcBorders>
            <w:shd w:val="clear" w:color="auto" w:fill="C6D9F1"/>
          </w:tcPr>
          <w:p w14:paraId="3372470C" w14:textId="77777777" w:rsidR="007D1264" w:rsidRDefault="007D1264">
            <w:pPr>
              <w:spacing w:line="259" w:lineRule="auto"/>
              <w:ind w:left="1"/>
            </w:pPr>
            <w:r>
              <w:t xml:space="preserve">Definition </w:t>
            </w:r>
          </w:p>
        </w:tc>
      </w:tr>
      <w:tr w:rsidR="007D1264" w14:paraId="01BB0179" w14:textId="77777777">
        <w:trPr>
          <w:trHeight w:val="407"/>
        </w:trPr>
        <w:tc>
          <w:tcPr>
            <w:tcW w:w="2109" w:type="dxa"/>
            <w:tcBorders>
              <w:top w:val="single" w:sz="4" w:space="0" w:color="000000"/>
              <w:left w:val="single" w:sz="4" w:space="0" w:color="000000"/>
              <w:bottom w:val="single" w:sz="4" w:space="0" w:color="000000"/>
              <w:right w:val="single" w:sz="4" w:space="0" w:color="000000"/>
            </w:tcBorders>
          </w:tcPr>
          <w:p w14:paraId="56D97297" w14:textId="77777777" w:rsidR="007D1264" w:rsidRDefault="007D1264">
            <w:pPr>
              <w:spacing w:line="259" w:lineRule="auto"/>
            </w:pPr>
            <w:r>
              <w:t xml:space="preserve">AC </w:t>
            </w:r>
          </w:p>
        </w:tc>
        <w:tc>
          <w:tcPr>
            <w:tcW w:w="6521" w:type="dxa"/>
            <w:tcBorders>
              <w:top w:val="single" w:sz="4" w:space="0" w:color="000000"/>
              <w:left w:val="single" w:sz="4" w:space="0" w:color="000000"/>
              <w:bottom w:val="single" w:sz="4" w:space="0" w:color="000000"/>
              <w:right w:val="single" w:sz="4" w:space="0" w:color="000000"/>
            </w:tcBorders>
          </w:tcPr>
          <w:p w14:paraId="6F0DDBED" w14:textId="77777777" w:rsidR="007D1264" w:rsidRDefault="007D1264">
            <w:pPr>
              <w:spacing w:line="259" w:lineRule="auto"/>
              <w:ind w:left="1"/>
            </w:pPr>
            <w:r>
              <w:t xml:space="preserve">Assessment Centre </w:t>
            </w:r>
          </w:p>
        </w:tc>
      </w:tr>
      <w:tr w:rsidR="007D1264" w14:paraId="67B3B4D0" w14:textId="77777777">
        <w:trPr>
          <w:trHeight w:val="406"/>
        </w:trPr>
        <w:tc>
          <w:tcPr>
            <w:tcW w:w="2109" w:type="dxa"/>
            <w:tcBorders>
              <w:top w:val="single" w:sz="4" w:space="0" w:color="000000"/>
              <w:left w:val="single" w:sz="4" w:space="0" w:color="000000"/>
              <w:bottom w:val="single" w:sz="4" w:space="0" w:color="000000"/>
              <w:right w:val="single" w:sz="4" w:space="0" w:color="000000"/>
            </w:tcBorders>
          </w:tcPr>
          <w:p w14:paraId="7E34217F" w14:textId="77777777" w:rsidR="007D1264" w:rsidRDefault="007D1264">
            <w:pPr>
              <w:spacing w:line="259" w:lineRule="auto"/>
            </w:pPr>
            <w:r>
              <w:t xml:space="preserve">ATS </w:t>
            </w:r>
          </w:p>
        </w:tc>
        <w:tc>
          <w:tcPr>
            <w:tcW w:w="6521" w:type="dxa"/>
            <w:tcBorders>
              <w:top w:val="single" w:sz="4" w:space="0" w:color="000000"/>
              <w:left w:val="single" w:sz="4" w:space="0" w:color="000000"/>
              <w:bottom w:val="single" w:sz="4" w:space="0" w:color="000000"/>
              <w:right w:val="single" w:sz="4" w:space="0" w:color="000000"/>
            </w:tcBorders>
          </w:tcPr>
          <w:p w14:paraId="30F5FB3A" w14:textId="77777777" w:rsidR="007D1264" w:rsidRDefault="007D1264">
            <w:pPr>
              <w:spacing w:line="259" w:lineRule="auto"/>
              <w:ind w:left="1"/>
            </w:pPr>
            <w:r>
              <w:t xml:space="preserve">Applicant Tracking System </w:t>
            </w:r>
          </w:p>
        </w:tc>
      </w:tr>
      <w:tr w:rsidR="007D1264" w14:paraId="0CB39771" w14:textId="77777777">
        <w:trPr>
          <w:trHeight w:val="406"/>
        </w:trPr>
        <w:tc>
          <w:tcPr>
            <w:tcW w:w="2109" w:type="dxa"/>
            <w:tcBorders>
              <w:top w:val="single" w:sz="4" w:space="0" w:color="000000"/>
              <w:left w:val="single" w:sz="4" w:space="0" w:color="000000"/>
              <w:bottom w:val="single" w:sz="4" w:space="0" w:color="000000"/>
              <w:right w:val="single" w:sz="4" w:space="0" w:color="000000"/>
            </w:tcBorders>
          </w:tcPr>
          <w:p w14:paraId="742C7A1C" w14:textId="77777777" w:rsidR="007D1264" w:rsidRDefault="007D1264">
            <w:pPr>
              <w:spacing w:line="259" w:lineRule="auto"/>
            </w:pPr>
            <w:r>
              <w:t xml:space="preserve">CTC </w:t>
            </w:r>
          </w:p>
        </w:tc>
        <w:tc>
          <w:tcPr>
            <w:tcW w:w="6521" w:type="dxa"/>
            <w:tcBorders>
              <w:top w:val="single" w:sz="4" w:space="0" w:color="000000"/>
              <w:left w:val="single" w:sz="4" w:space="0" w:color="000000"/>
              <w:bottom w:val="single" w:sz="4" w:space="0" w:color="000000"/>
              <w:right w:val="single" w:sz="4" w:space="0" w:color="000000"/>
            </w:tcBorders>
          </w:tcPr>
          <w:p w14:paraId="6955693F" w14:textId="77777777" w:rsidR="007D1264" w:rsidRDefault="007D1264">
            <w:pPr>
              <w:spacing w:line="259" w:lineRule="auto"/>
              <w:ind w:left="1"/>
            </w:pPr>
            <w:r>
              <w:t xml:space="preserve">Counter Terrorist Check </w:t>
            </w:r>
          </w:p>
        </w:tc>
      </w:tr>
      <w:tr w:rsidR="007D1264" w14:paraId="6743C5B2" w14:textId="77777777">
        <w:trPr>
          <w:trHeight w:val="406"/>
        </w:trPr>
        <w:tc>
          <w:tcPr>
            <w:tcW w:w="2109" w:type="dxa"/>
            <w:tcBorders>
              <w:top w:val="single" w:sz="4" w:space="0" w:color="000000"/>
              <w:left w:val="single" w:sz="4" w:space="0" w:color="000000"/>
              <w:bottom w:val="single" w:sz="4" w:space="0" w:color="000000"/>
              <w:right w:val="single" w:sz="4" w:space="0" w:color="000000"/>
            </w:tcBorders>
          </w:tcPr>
          <w:p w14:paraId="60C57FB3" w14:textId="77777777" w:rsidR="007D1264" w:rsidRDefault="007D1264">
            <w:pPr>
              <w:spacing w:line="259" w:lineRule="auto"/>
            </w:pPr>
            <w:r>
              <w:t xml:space="preserve">DCS </w:t>
            </w:r>
          </w:p>
        </w:tc>
        <w:tc>
          <w:tcPr>
            <w:tcW w:w="6521" w:type="dxa"/>
            <w:tcBorders>
              <w:top w:val="single" w:sz="4" w:space="0" w:color="000000"/>
              <w:left w:val="single" w:sz="4" w:space="0" w:color="000000"/>
              <w:bottom w:val="single" w:sz="4" w:space="0" w:color="000000"/>
              <w:right w:val="single" w:sz="4" w:space="0" w:color="000000"/>
            </w:tcBorders>
          </w:tcPr>
          <w:p w14:paraId="13C0D1F8" w14:textId="77777777" w:rsidR="007D1264" w:rsidRDefault="007D1264">
            <w:pPr>
              <w:spacing w:line="259" w:lineRule="auto"/>
              <w:ind w:left="1"/>
            </w:pPr>
            <w:r>
              <w:t xml:space="preserve">Disability Confident Scheme  </w:t>
            </w:r>
          </w:p>
        </w:tc>
      </w:tr>
      <w:tr w:rsidR="007D1264" w14:paraId="48B7E346" w14:textId="77777777">
        <w:trPr>
          <w:trHeight w:val="408"/>
        </w:trPr>
        <w:tc>
          <w:tcPr>
            <w:tcW w:w="2109" w:type="dxa"/>
            <w:tcBorders>
              <w:top w:val="single" w:sz="4" w:space="0" w:color="000000"/>
              <w:left w:val="single" w:sz="4" w:space="0" w:color="000000"/>
              <w:bottom w:val="single" w:sz="4" w:space="0" w:color="000000"/>
              <w:right w:val="single" w:sz="4" w:space="0" w:color="000000"/>
            </w:tcBorders>
          </w:tcPr>
          <w:p w14:paraId="2E043D1E" w14:textId="77777777" w:rsidR="007D1264" w:rsidRDefault="007D1264">
            <w:pPr>
              <w:spacing w:line="259" w:lineRule="auto"/>
            </w:pPr>
            <w:r>
              <w:t xml:space="preserve">EIA </w:t>
            </w:r>
          </w:p>
        </w:tc>
        <w:tc>
          <w:tcPr>
            <w:tcW w:w="6521" w:type="dxa"/>
            <w:tcBorders>
              <w:top w:val="single" w:sz="4" w:space="0" w:color="000000"/>
              <w:left w:val="single" w:sz="4" w:space="0" w:color="000000"/>
              <w:bottom w:val="single" w:sz="4" w:space="0" w:color="000000"/>
              <w:right w:val="single" w:sz="4" w:space="0" w:color="000000"/>
            </w:tcBorders>
          </w:tcPr>
          <w:p w14:paraId="73A9809C" w14:textId="77777777" w:rsidR="007D1264" w:rsidRDefault="007D1264">
            <w:pPr>
              <w:spacing w:line="259" w:lineRule="auto"/>
              <w:ind w:left="1"/>
            </w:pPr>
            <w:r>
              <w:t xml:space="preserve">Equality Impact Assessment </w:t>
            </w:r>
          </w:p>
        </w:tc>
      </w:tr>
      <w:tr w:rsidR="007D1264" w14:paraId="19E4105B" w14:textId="77777777">
        <w:trPr>
          <w:trHeight w:val="406"/>
        </w:trPr>
        <w:tc>
          <w:tcPr>
            <w:tcW w:w="2109" w:type="dxa"/>
            <w:tcBorders>
              <w:top w:val="single" w:sz="4" w:space="0" w:color="000000"/>
              <w:left w:val="single" w:sz="4" w:space="0" w:color="000000"/>
              <w:bottom w:val="single" w:sz="4" w:space="0" w:color="000000"/>
              <w:right w:val="single" w:sz="4" w:space="0" w:color="000000"/>
            </w:tcBorders>
          </w:tcPr>
          <w:p w14:paraId="5196BEFC" w14:textId="77777777" w:rsidR="007D1264" w:rsidRDefault="007D1264">
            <w:pPr>
              <w:spacing w:line="259" w:lineRule="auto"/>
            </w:pPr>
            <w:r>
              <w:lastRenderedPageBreak/>
              <w:t xml:space="preserve">HORC </w:t>
            </w:r>
          </w:p>
        </w:tc>
        <w:tc>
          <w:tcPr>
            <w:tcW w:w="6521" w:type="dxa"/>
            <w:tcBorders>
              <w:top w:val="single" w:sz="4" w:space="0" w:color="000000"/>
              <w:left w:val="single" w:sz="4" w:space="0" w:color="000000"/>
              <w:bottom w:val="single" w:sz="4" w:space="0" w:color="000000"/>
              <w:right w:val="single" w:sz="4" w:space="0" w:color="000000"/>
            </w:tcBorders>
          </w:tcPr>
          <w:p w14:paraId="1F299920" w14:textId="77777777" w:rsidR="007D1264" w:rsidRDefault="007D1264">
            <w:pPr>
              <w:spacing w:line="259" w:lineRule="auto"/>
              <w:ind w:left="1"/>
            </w:pPr>
            <w:r>
              <w:t xml:space="preserve">Home Office Resourcing Centre </w:t>
            </w:r>
          </w:p>
        </w:tc>
      </w:tr>
      <w:tr w:rsidR="007D1264" w14:paraId="2BDC45F9" w14:textId="77777777">
        <w:trPr>
          <w:trHeight w:val="406"/>
        </w:trPr>
        <w:tc>
          <w:tcPr>
            <w:tcW w:w="2109" w:type="dxa"/>
            <w:tcBorders>
              <w:top w:val="single" w:sz="4" w:space="0" w:color="000000"/>
              <w:left w:val="single" w:sz="4" w:space="0" w:color="000000"/>
              <w:bottom w:val="single" w:sz="4" w:space="0" w:color="000000"/>
              <w:right w:val="single" w:sz="4" w:space="0" w:color="000000"/>
            </w:tcBorders>
          </w:tcPr>
          <w:p w14:paraId="5D544195" w14:textId="77777777" w:rsidR="007D1264" w:rsidRDefault="007D1264">
            <w:pPr>
              <w:spacing w:line="259" w:lineRule="auto"/>
            </w:pPr>
            <w:r>
              <w:t xml:space="preserve">IDVT </w:t>
            </w:r>
          </w:p>
        </w:tc>
        <w:tc>
          <w:tcPr>
            <w:tcW w:w="6521" w:type="dxa"/>
            <w:tcBorders>
              <w:top w:val="single" w:sz="4" w:space="0" w:color="000000"/>
              <w:left w:val="single" w:sz="4" w:space="0" w:color="000000"/>
              <w:bottom w:val="single" w:sz="4" w:space="0" w:color="000000"/>
              <w:right w:val="single" w:sz="4" w:space="0" w:color="000000"/>
            </w:tcBorders>
          </w:tcPr>
          <w:p w14:paraId="0464D8C2" w14:textId="77777777" w:rsidR="007D1264" w:rsidRDefault="007D1264">
            <w:pPr>
              <w:spacing w:line="259" w:lineRule="auto"/>
              <w:ind w:left="1"/>
            </w:pPr>
            <w:r>
              <w:t xml:space="preserve">Identity Document Validation Technology </w:t>
            </w:r>
          </w:p>
        </w:tc>
      </w:tr>
      <w:tr w:rsidR="007D1264" w14:paraId="69CA1375" w14:textId="77777777">
        <w:trPr>
          <w:trHeight w:val="958"/>
        </w:trPr>
        <w:tc>
          <w:tcPr>
            <w:tcW w:w="2109" w:type="dxa"/>
            <w:tcBorders>
              <w:top w:val="single" w:sz="4" w:space="0" w:color="000000"/>
              <w:left w:val="single" w:sz="4" w:space="0" w:color="000000"/>
              <w:bottom w:val="single" w:sz="4" w:space="0" w:color="000000"/>
              <w:right w:val="single" w:sz="4" w:space="0" w:color="000000"/>
            </w:tcBorders>
          </w:tcPr>
          <w:p w14:paraId="3C751D7A" w14:textId="77777777" w:rsidR="007D1264" w:rsidRDefault="007D1264">
            <w:pPr>
              <w:spacing w:line="259" w:lineRule="auto"/>
            </w:pPr>
            <w:r>
              <w:t xml:space="preserve">Provider </w:t>
            </w:r>
          </w:p>
        </w:tc>
        <w:tc>
          <w:tcPr>
            <w:tcW w:w="6521" w:type="dxa"/>
            <w:tcBorders>
              <w:top w:val="single" w:sz="4" w:space="0" w:color="000000"/>
              <w:left w:val="single" w:sz="4" w:space="0" w:color="000000"/>
              <w:bottom w:val="single" w:sz="4" w:space="0" w:color="000000"/>
              <w:right w:val="single" w:sz="4" w:space="0" w:color="000000"/>
            </w:tcBorders>
          </w:tcPr>
          <w:p w14:paraId="73F897C0" w14:textId="77777777" w:rsidR="007D1264" w:rsidRDefault="007D1264">
            <w:pPr>
              <w:spacing w:line="259" w:lineRule="auto"/>
              <w:ind w:left="1"/>
            </w:pPr>
            <w:r>
              <w:t xml:space="preserve">An organisation bidding for the Provision of Recruitment </w:t>
            </w:r>
          </w:p>
          <w:p w14:paraId="22E29710" w14:textId="77777777" w:rsidR="007D1264" w:rsidRDefault="007D1264">
            <w:pPr>
              <w:spacing w:line="259" w:lineRule="auto"/>
              <w:ind w:left="1"/>
            </w:pPr>
            <w:r>
              <w:t xml:space="preserve">Services for the Home Office Strategic Recruitment Partner Contract   </w:t>
            </w:r>
          </w:p>
        </w:tc>
      </w:tr>
      <w:tr w:rsidR="007D1264" w14:paraId="5AF92565" w14:textId="77777777">
        <w:trPr>
          <w:trHeight w:val="406"/>
        </w:trPr>
        <w:tc>
          <w:tcPr>
            <w:tcW w:w="2109" w:type="dxa"/>
            <w:tcBorders>
              <w:top w:val="single" w:sz="4" w:space="0" w:color="000000"/>
              <w:left w:val="single" w:sz="4" w:space="0" w:color="000000"/>
              <w:bottom w:val="single" w:sz="4" w:space="0" w:color="000000"/>
              <w:right w:val="single" w:sz="4" w:space="0" w:color="000000"/>
            </w:tcBorders>
          </w:tcPr>
          <w:p w14:paraId="085956C2" w14:textId="77777777" w:rsidR="007D1264" w:rsidRDefault="007D1264">
            <w:pPr>
              <w:spacing w:line="259" w:lineRule="auto"/>
            </w:pPr>
            <w:r>
              <w:t xml:space="preserve">DPA </w:t>
            </w:r>
          </w:p>
        </w:tc>
        <w:tc>
          <w:tcPr>
            <w:tcW w:w="6521" w:type="dxa"/>
            <w:tcBorders>
              <w:top w:val="single" w:sz="4" w:space="0" w:color="000000"/>
              <w:left w:val="single" w:sz="4" w:space="0" w:color="000000"/>
              <w:bottom w:val="single" w:sz="4" w:space="0" w:color="000000"/>
              <w:right w:val="single" w:sz="4" w:space="0" w:color="000000"/>
            </w:tcBorders>
          </w:tcPr>
          <w:p w14:paraId="66620F7D" w14:textId="77777777" w:rsidR="007D1264" w:rsidRDefault="007D1264">
            <w:pPr>
              <w:spacing w:line="259" w:lineRule="auto"/>
              <w:ind w:left="1"/>
            </w:pPr>
            <w:r>
              <w:t xml:space="preserve">Data Protection Act  </w:t>
            </w:r>
          </w:p>
        </w:tc>
      </w:tr>
      <w:tr w:rsidR="007D1264" w14:paraId="7B3243B9" w14:textId="77777777">
        <w:trPr>
          <w:trHeight w:val="406"/>
        </w:trPr>
        <w:tc>
          <w:tcPr>
            <w:tcW w:w="2109" w:type="dxa"/>
            <w:tcBorders>
              <w:top w:val="single" w:sz="4" w:space="0" w:color="000000"/>
              <w:left w:val="single" w:sz="4" w:space="0" w:color="000000"/>
              <w:bottom w:val="single" w:sz="4" w:space="0" w:color="000000"/>
              <w:right w:val="single" w:sz="4" w:space="0" w:color="000000"/>
            </w:tcBorders>
          </w:tcPr>
          <w:p w14:paraId="231C7E9E" w14:textId="77777777" w:rsidR="007D1264" w:rsidRDefault="007D1264">
            <w:pPr>
              <w:spacing w:line="259" w:lineRule="auto"/>
            </w:pPr>
            <w:r>
              <w:t xml:space="preserve">F2F </w:t>
            </w:r>
          </w:p>
        </w:tc>
        <w:tc>
          <w:tcPr>
            <w:tcW w:w="6521" w:type="dxa"/>
            <w:tcBorders>
              <w:top w:val="single" w:sz="4" w:space="0" w:color="000000"/>
              <w:left w:val="single" w:sz="4" w:space="0" w:color="000000"/>
              <w:bottom w:val="single" w:sz="4" w:space="0" w:color="000000"/>
              <w:right w:val="single" w:sz="4" w:space="0" w:color="000000"/>
            </w:tcBorders>
          </w:tcPr>
          <w:p w14:paraId="17322E98" w14:textId="77777777" w:rsidR="007D1264" w:rsidRDefault="007D1264">
            <w:pPr>
              <w:spacing w:line="259" w:lineRule="auto"/>
              <w:ind w:left="1"/>
            </w:pPr>
            <w:r>
              <w:t xml:space="preserve">Face to face </w:t>
            </w:r>
          </w:p>
        </w:tc>
      </w:tr>
      <w:tr w:rsidR="007D1264" w14:paraId="34A0D295" w14:textId="77777777">
        <w:trPr>
          <w:trHeight w:val="406"/>
        </w:trPr>
        <w:tc>
          <w:tcPr>
            <w:tcW w:w="2109" w:type="dxa"/>
            <w:tcBorders>
              <w:top w:val="single" w:sz="4" w:space="0" w:color="000000"/>
              <w:left w:val="single" w:sz="4" w:space="0" w:color="000000"/>
              <w:bottom w:val="single" w:sz="4" w:space="0" w:color="000000"/>
              <w:right w:val="single" w:sz="4" w:space="0" w:color="000000"/>
            </w:tcBorders>
          </w:tcPr>
          <w:p w14:paraId="525D0D7D" w14:textId="77777777" w:rsidR="007D1264" w:rsidRDefault="007D1264">
            <w:pPr>
              <w:spacing w:line="259" w:lineRule="auto"/>
            </w:pPr>
            <w:r>
              <w:t xml:space="preserve">FOI </w:t>
            </w:r>
          </w:p>
        </w:tc>
        <w:tc>
          <w:tcPr>
            <w:tcW w:w="6521" w:type="dxa"/>
            <w:tcBorders>
              <w:top w:val="single" w:sz="4" w:space="0" w:color="000000"/>
              <w:left w:val="single" w:sz="4" w:space="0" w:color="000000"/>
              <w:bottom w:val="single" w:sz="4" w:space="0" w:color="000000"/>
              <w:right w:val="single" w:sz="4" w:space="0" w:color="000000"/>
            </w:tcBorders>
          </w:tcPr>
          <w:p w14:paraId="56DB42DC" w14:textId="77777777" w:rsidR="007D1264" w:rsidRDefault="007D1264">
            <w:pPr>
              <w:spacing w:line="259" w:lineRule="auto"/>
              <w:ind w:left="1"/>
            </w:pPr>
            <w:r>
              <w:t xml:space="preserve">Freedom of Information </w:t>
            </w:r>
          </w:p>
        </w:tc>
      </w:tr>
      <w:tr w:rsidR="007D1264" w14:paraId="3E5B10DC" w14:textId="77777777">
        <w:trPr>
          <w:trHeight w:val="408"/>
        </w:trPr>
        <w:tc>
          <w:tcPr>
            <w:tcW w:w="2109" w:type="dxa"/>
            <w:tcBorders>
              <w:top w:val="single" w:sz="4" w:space="0" w:color="000000"/>
              <w:left w:val="single" w:sz="4" w:space="0" w:color="000000"/>
              <w:bottom w:val="single" w:sz="4" w:space="0" w:color="000000"/>
              <w:right w:val="single" w:sz="4" w:space="0" w:color="000000"/>
            </w:tcBorders>
          </w:tcPr>
          <w:p w14:paraId="18BB5DBF" w14:textId="77777777" w:rsidR="007D1264" w:rsidRDefault="007D1264">
            <w:pPr>
              <w:spacing w:line="259" w:lineRule="auto"/>
            </w:pPr>
            <w:r>
              <w:t xml:space="preserve">DDAT </w:t>
            </w:r>
          </w:p>
        </w:tc>
        <w:tc>
          <w:tcPr>
            <w:tcW w:w="6521" w:type="dxa"/>
            <w:tcBorders>
              <w:top w:val="single" w:sz="4" w:space="0" w:color="000000"/>
              <w:left w:val="single" w:sz="4" w:space="0" w:color="000000"/>
              <w:bottom w:val="single" w:sz="4" w:space="0" w:color="000000"/>
              <w:right w:val="single" w:sz="4" w:space="0" w:color="000000"/>
            </w:tcBorders>
          </w:tcPr>
          <w:p w14:paraId="67082407" w14:textId="77777777" w:rsidR="007D1264" w:rsidRDefault="007D1264">
            <w:pPr>
              <w:spacing w:line="259" w:lineRule="auto"/>
              <w:ind w:left="1"/>
            </w:pPr>
            <w:r>
              <w:t xml:space="preserve">Data, Digital &amp; Technology </w:t>
            </w:r>
          </w:p>
        </w:tc>
      </w:tr>
      <w:tr w:rsidR="007D1264" w14:paraId="75C4AC57" w14:textId="77777777">
        <w:trPr>
          <w:trHeight w:val="310"/>
        </w:trPr>
        <w:tc>
          <w:tcPr>
            <w:tcW w:w="2109" w:type="dxa"/>
            <w:tcBorders>
              <w:top w:val="single" w:sz="4" w:space="0" w:color="000000"/>
              <w:left w:val="single" w:sz="4" w:space="0" w:color="000000"/>
              <w:bottom w:val="single" w:sz="4" w:space="0" w:color="000000"/>
              <w:right w:val="single" w:sz="4" w:space="0" w:color="000000"/>
            </w:tcBorders>
          </w:tcPr>
          <w:p w14:paraId="46A2AC7A" w14:textId="77777777" w:rsidR="007D1264" w:rsidRDefault="007D1264">
            <w:pPr>
              <w:spacing w:line="259" w:lineRule="auto"/>
            </w:pPr>
            <w:r>
              <w:t xml:space="preserve">NEN </w:t>
            </w:r>
          </w:p>
        </w:tc>
        <w:tc>
          <w:tcPr>
            <w:tcW w:w="6521" w:type="dxa"/>
            <w:tcBorders>
              <w:top w:val="single" w:sz="4" w:space="0" w:color="000000"/>
              <w:left w:val="single" w:sz="4" w:space="0" w:color="000000"/>
              <w:bottom w:val="single" w:sz="4" w:space="0" w:color="000000"/>
              <w:right w:val="single" w:sz="4" w:space="0" w:color="000000"/>
            </w:tcBorders>
          </w:tcPr>
          <w:p w14:paraId="69BF9504" w14:textId="77777777" w:rsidR="007D1264" w:rsidRDefault="007D1264">
            <w:pPr>
              <w:spacing w:line="259" w:lineRule="auto"/>
              <w:ind w:left="1"/>
            </w:pPr>
            <w:r>
              <w:t xml:space="preserve">New Employee Notification </w:t>
            </w:r>
          </w:p>
        </w:tc>
      </w:tr>
      <w:tr w:rsidR="007D1264" w14:paraId="17632A07" w14:textId="77777777">
        <w:trPr>
          <w:trHeight w:val="310"/>
        </w:trPr>
        <w:tc>
          <w:tcPr>
            <w:tcW w:w="2109" w:type="dxa"/>
            <w:tcBorders>
              <w:top w:val="single" w:sz="4" w:space="0" w:color="000000"/>
              <w:left w:val="single" w:sz="4" w:space="0" w:color="000000"/>
              <w:bottom w:val="single" w:sz="4" w:space="0" w:color="000000"/>
              <w:right w:val="single" w:sz="4" w:space="0" w:color="000000"/>
            </w:tcBorders>
          </w:tcPr>
          <w:p w14:paraId="15148968" w14:textId="77777777" w:rsidR="007D1264" w:rsidRDefault="007D1264">
            <w:pPr>
              <w:spacing w:line="259" w:lineRule="auto"/>
            </w:pPr>
            <w:r>
              <w:t xml:space="preserve">OGD </w:t>
            </w:r>
          </w:p>
        </w:tc>
        <w:tc>
          <w:tcPr>
            <w:tcW w:w="6521" w:type="dxa"/>
            <w:tcBorders>
              <w:top w:val="single" w:sz="4" w:space="0" w:color="000000"/>
              <w:left w:val="single" w:sz="4" w:space="0" w:color="000000"/>
              <w:bottom w:val="single" w:sz="4" w:space="0" w:color="000000"/>
              <w:right w:val="single" w:sz="4" w:space="0" w:color="000000"/>
            </w:tcBorders>
          </w:tcPr>
          <w:p w14:paraId="4FE821BD" w14:textId="77777777" w:rsidR="007D1264" w:rsidRDefault="007D1264">
            <w:pPr>
              <w:spacing w:line="259" w:lineRule="auto"/>
              <w:ind w:left="1"/>
            </w:pPr>
            <w:r>
              <w:t xml:space="preserve">Other Government Department </w:t>
            </w:r>
          </w:p>
        </w:tc>
      </w:tr>
      <w:tr w:rsidR="007D1264" w14:paraId="0F1F3C86" w14:textId="77777777">
        <w:trPr>
          <w:trHeight w:val="310"/>
        </w:trPr>
        <w:tc>
          <w:tcPr>
            <w:tcW w:w="2109" w:type="dxa"/>
            <w:tcBorders>
              <w:top w:val="single" w:sz="4" w:space="0" w:color="000000"/>
              <w:left w:val="single" w:sz="4" w:space="0" w:color="000000"/>
              <w:bottom w:val="single" w:sz="4" w:space="0" w:color="000000"/>
              <w:right w:val="single" w:sz="4" w:space="0" w:color="000000"/>
            </w:tcBorders>
          </w:tcPr>
          <w:p w14:paraId="52500444" w14:textId="77777777" w:rsidR="007D1264" w:rsidRDefault="007D1264">
            <w:pPr>
              <w:spacing w:line="259" w:lineRule="auto"/>
            </w:pPr>
            <w:r>
              <w:t xml:space="preserve">Metis </w:t>
            </w:r>
          </w:p>
        </w:tc>
        <w:tc>
          <w:tcPr>
            <w:tcW w:w="6521" w:type="dxa"/>
            <w:tcBorders>
              <w:top w:val="single" w:sz="4" w:space="0" w:color="000000"/>
              <w:left w:val="single" w:sz="4" w:space="0" w:color="000000"/>
              <w:bottom w:val="single" w:sz="4" w:space="0" w:color="000000"/>
              <w:right w:val="single" w:sz="4" w:space="0" w:color="000000"/>
            </w:tcBorders>
          </w:tcPr>
          <w:p w14:paraId="62C0879B" w14:textId="77777777" w:rsidR="007D1264" w:rsidRDefault="007D1264">
            <w:pPr>
              <w:spacing w:line="259" w:lineRule="auto"/>
              <w:ind w:left="1"/>
            </w:pPr>
            <w:r>
              <w:t xml:space="preserve">Home Office HR System </w:t>
            </w:r>
          </w:p>
        </w:tc>
      </w:tr>
      <w:tr w:rsidR="007D1264" w14:paraId="734B56D3" w14:textId="77777777">
        <w:trPr>
          <w:trHeight w:val="310"/>
        </w:trPr>
        <w:tc>
          <w:tcPr>
            <w:tcW w:w="2109" w:type="dxa"/>
            <w:tcBorders>
              <w:top w:val="single" w:sz="4" w:space="0" w:color="000000"/>
              <w:left w:val="single" w:sz="4" w:space="0" w:color="000000"/>
              <w:bottom w:val="single" w:sz="4" w:space="0" w:color="000000"/>
              <w:right w:val="single" w:sz="4" w:space="0" w:color="000000"/>
            </w:tcBorders>
          </w:tcPr>
          <w:p w14:paraId="3C6193C8" w14:textId="77777777" w:rsidR="007D1264" w:rsidRDefault="007D1264">
            <w:pPr>
              <w:spacing w:line="259" w:lineRule="auto"/>
            </w:pPr>
            <w:r>
              <w:t xml:space="preserve">VH </w:t>
            </w:r>
          </w:p>
        </w:tc>
        <w:tc>
          <w:tcPr>
            <w:tcW w:w="6521" w:type="dxa"/>
            <w:tcBorders>
              <w:top w:val="single" w:sz="4" w:space="0" w:color="000000"/>
              <w:left w:val="single" w:sz="4" w:space="0" w:color="000000"/>
              <w:bottom w:val="single" w:sz="4" w:space="0" w:color="000000"/>
              <w:right w:val="single" w:sz="4" w:space="0" w:color="000000"/>
            </w:tcBorders>
          </w:tcPr>
          <w:p w14:paraId="066F34DB" w14:textId="77777777" w:rsidR="007D1264" w:rsidRDefault="007D1264">
            <w:pPr>
              <w:spacing w:line="259" w:lineRule="auto"/>
              <w:ind w:left="1"/>
            </w:pPr>
            <w:r>
              <w:t xml:space="preserve">Vacancy Holder </w:t>
            </w:r>
          </w:p>
        </w:tc>
      </w:tr>
    </w:tbl>
    <w:p w14:paraId="2C4ECF5E" w14:textId="77777777" w:rsidR="007D1264" w:rsidRDefault="007D1264">
      <w:pPr>
        <w:spacing w:after="93" w:line="259" w:lineRule="auto"/>
        <w:ind w:left="720"/>
      </w:pPr>
      <w:r>
        <w:rPr>
          <w:rFonts w:ascii="Arial" w:eastAsia="Arial" w:hAnsi="Arial" w:cs="Arial"/>
          <w:b/>
          <w:sz w:val="32"/>
        </w:rPr>
        <w:t xml:space="preserve"> </w:t>
      </w:r>
    </w:p>
    <w:p w14:paraId="66762695" w14:textId="77777777" w:rsidR="007D1264" w:rsidRDefault="007D1264">
      <w:pPr>
        <w:pStyle w:val="Heading1"/>
        <w:tabs>
          <w:tab w:val="center" w:pos="2265"/>
        </w:tabs>
        <w:ind w:left="-3"/>
      </w:pPr>
      <w:bookmarkStart w:id="5" w:name="_Toc43532"/>
      <w:r>
        <w:t xml:space="preserve">5. </w:t>
      </w:r>
      <w:r>
        <w:tab/>
        <w:t xml:space="preserve">THE REQUIREMENT </w:t>
      </w:r>
      <w:bookmarkEnd w:id="5"/>
    </w:p>
    <w:p w14:paraId="5DB30F5F" w14:textId="77777777" w:rsidR="007D1264" w:rsidRDefault="007D1264">
      <w:pPr>
        <w:spacing w:after="10"/>
        <w:ind w:right="713"/>
      </w:pPr>
      <w:r>
        <w:t xml:space="preserve">The Provider must provide all the services listed below: </w:t>
      </w:r>
    </w:p>
    <w:p w14:paraId="3961A945" w14:textId="77777777" w:rsidR="007D1264" w:rsidRDefault="007D1264">
      <w:pPr>
        <w:spacing w:after="40" w:line="259" w:lineRule="auto"/>
        <w:ind w:left="7" w:hanging="10"/>
      </w:pPr>
      <w:proofErr w:type="spellStart"/>
      <w:r>
        <w:t>accre</w:t>
      </w:r>
      <w:proofErr w:type="spellEnd"/>
      <w:r>
        <w:t xml:space="preserve"> </w:t>
      </w:r>
    </w:p>
    <w:p w14:paraId="72A79C46" w14:textId="77777777" w:rsidR="007D1264" w:rsidRDefault="007D1264">
      <w:pPr>
        <w:pStyle w:val="Heading2"/>
        <w:tabs>
          <w:tab w:val="center" w:pos="1302"/>
          <w:tab w:val="center" w:pos="3427"/>
        </w:tabs>
      </w:pPr>
      <w:r>
        <w:rPr>
          <w:rFonts w:ascii="Calibri" w:eastAsia="Calibri" w:hAnsi="Calibri" w:cs="Calibri"/>
          <w:b w:val="0"/>
          <w:sz w:val="22"/>
        </w:rPr>
        <w:tab/>
      </w:r>
      <w:r>
        <w:rPr>
          <w:rFonts w:ascii="Arial" w:eastAsia="Arial" w:hAnsi="Arial" w:cs="Arial"/>
          <w:b w:val="0"/>
          <w:sz w:val="24"/>
        </w:rPr>
        <w:t xml:space="preserve">5.1 </w:t>
      </w:r>
      <w:r>
        <w:rPr>
          <w:rFonts w:ascii="Arial" w:eastAsia="Arial" w:hAnsi="Arial" w:cs="Arial"/>
          <w:b w:val="0"/>
          <w:sz w:val="24"/>
        </w:rPr>
        <w:tab/>
      </w:r>
      <w:r>
        <w:t>Service implementation</w:t>
      </w:r>
      <w:r>
        <w:rPr>
          <w:rFonts w:ascii="Arial" w:eastAsia="Arial" w:hAnsi="Arial" w:cs="Arial"/>
          <w:b w:val="0"/>
          <w:sz w:val="22"/>
        </w:rPr>
        <w:t xml:space="preserve"> </w:t>
      </w:r>
    </w:p>
    <w:p w14:paraId="23230BF6" w14:textId="77777777" w:rsidR="007D1264" w:rsidRDefault="007D1264">
      <w:pPr>
        <w:ind w:left="2223" w:right="5"/>
      </w:pPr>
      <w:r>
        <w:t xml:space="preserve">5.1.1 The implementation steps below need to be taken from the point at which the contract is awarded before recruitment campaigns can be launched. 5.1.2 and 5.1.3 should be considered Priority 1 requirements, 5.1.4 and 5.1.5 Priority 2 requirements. </w:t>
      </w:r>
    </w:p>
    <w:p w14:paraId="128EB0D1" w14:textId="77777777" w:rsidR="007D1264" w:rsidRDefault="007D1264">
      <w:pPr>
        <w:ind w:left="2223" w:right="1"/>
      </w:pPr>
      <w:r>
        <w:t xml:space="preserve">5.1.2 Set up their ATS and configure it to the Home Office brand and requirements and integrate it with the current Home Office Careers website in terms of look and feel. </w:t>
      </w:r>
    </w:p>
    <w:p w14:paraId="0721EA3E" w14:textId="77777777" w:rsidR="007D1264" w:rsidRDefault="007D1264">
      <w:pPr>
        <w:ind w:left="2223"/>
      </w:pPr>
      <w:r>
        <w:t xml:space="preserve">5.1.3 </w:t>
      </w:r>
      <w:r>
        <w:tab/>
        <w:t xml:space="preserve">Obtain CTC clearances for all its staff who will be working on this contract. </w:t>
      </w:r>
    </w:p>
    <w:p w14:paraId="3B23F55C" w14:textId="77777777" w:rsidR="007D1264" w:rsidRDefault="007D1264">
      <w:pPr>
        <w:ind w:left="2223" w:right="10"/>
      </w:pPr>
      <w:r>
        <w:t xml:space="preserve">5.1.4 Design online assessments and online assessment centres for use in upcoming recruitment campaigns and in collaboration with HORC. </w:t>
      </w:r>
    </w:p>
    <w:p w14:paraId="6D88A409" w14:textId="77777777" w:rsidR="007D1264" w:rsidRDefault="007D1264">
      <w:pPr>
        <w:ind w:left="2223"/>
      </w:pPr>
      <w:r>
        <w:t xml:space="preserve">5.1.5 </w:t>
      </w:r>
      <w:r>
        <w:tab/>
        <w:t xml:space="preserve">Use the current Home Office recruitment microsite </w:t>
      </w:r>
      <w:hyperlink r:id="rId31">
        <w:r>
          <w:t>(</w:t>
        </w:r>
      </w:hyperlink>
      <w:hyperlink r:id="rId32">
        <w:r>
          <w:rPr>
            <w:color w:val="0000FF"/>
            <w:u w:val="single" w:color="0000FF"/>
          </w:rPr>
          <w:t xml:space="preserve">Home </w:t>
        </w:r>
      </w:hyperlink>
      <w:hyperlink r:id="rId33">
        <w:r>
          <w:rPr>
            <w:color w:val="0000FF"/>
            <w:u w:val="single" w:color="0000FF"/>
          </w:rPr>
          <w:t xml:space="preserve">- </w:t>
        </w:r>
      </w:hyperlink>
      <w:hyperlink r:id="rId34">
        <w:r>
          <w:rPr>
            <w:color w:val="0000FF"/>
            <w:u w:val="single" w:color="0000FF"/>
          </w:rPr>
          <w:t>Home</w:t>
        </w:r>
      </w:hyperlink>
      <w:hyperlink r:id="rId35">
        <w:r>
          <w:rPr>
            <w:color w:val="0000FF"/>
          </w:rPr>
          <w:t xml:space="preserve"> </w:t>
        </w:r>
      </w:hyperlink>
      <w:hyperlink r:id="rId36">
        <w:r>
          <w:rPr>
            <w:color w:val="0000FF"/>
            <w:u w:val="single" w:color="0000FF"/>
          </w:rPr>
          <w:t>Office Careers</w:t>
        </w:r>
      </w:hyperlink>
      <w:hyperlink r:id="rId37">
        <w:r>
          <w:t>)</w:t>
        </w:r>
      </w:hyperlink>
      <w:r>
        <w:t xml:space="preserve"> </w:t>
      </w:r>
    </w:p>
    <w:p w14:paraId="2E09D067" w14:textId="77777777" w:rsidR="007D1264" w:rsidRDefault="007D1264">
      <w:pPr>
        <w:spacing w:after="271"/>
        <w:ind w:left="2223"/>
      </w:pPr>
      <w:r>
        <w:lastRenderedPageBreak/>
        <w:t xml:space="preserve">5.1.6 Work with Home Office Cyber Security team to ensure all IT, technology and processes are accredited by the Home Office. </w:t>
      </w:r>
    </w:p>
    <w:p w14:paraId="498CBEE2" w14:textId="77777777" w:rsidR="007D1264" w:rsidRDefault="007D1264">
      <w:pPr>
        <w:pStyle w:val="Heading2"/>
        <w:tabs>
          <w:tab w:val="center" w:pos="1302"/>
          <w:tab w:val="center" w:pos="4062"/>
        </w:tabs>
      </w:pPr>
      <w:r>
        <w:rPr>
          <w:rFonts w:ascii="Calibri" w:eastAsia="Calibri" w:hAnsi="Calibri" w:cs="Calibri"/>
          <w:b w:val="0"/>
          <w:sz w:val="22"/>
        </w:rPr>
        <w:tab/>
      </w:r>
      <w:r>
        <w:rPr>
          <w:rFonts w:ascii="Arial" w:eastAsia="Arial" w:hAnsi="Arial" w:cs="Arial"/>
          <w:b w:val="0"/>
          <w:sz w:val="24"/>
        </w:rPr>
        <w:t xml:space="preserve">5.2 </w:t>
      </w:r>
      <w:r>
        <w:rPr>
          <w:rFonts w:ascii="Arial" w:eastAsia="Arial" w:hAnsi="Arial" w:cs="Arial"/>
          <w:b w:val="0"/>
          <w:sz w:val="24"/>
        </w:rPr>
        <w:tab/>
      </w:r>
      <w:r>
        <w:t>Applicant Tracking System (ATS)</w:t>
      </w:r>
      <w:r>
        <w:rPr>
          <w:rFonts w:ascii="Arial" w:eastAsia="Arial" w:hAnsi="Arial" w:cs="Arial"/>
          <w:b w:val="0"/>
        </w:rPr>
        <w:t xml:space="preserve"> </w:t>
      </w:r>
    </w:p>
    <w:p w14:paraId="3783B82C" w14:textId="77777777" w:rsidR="007D1264" w:rsidRDefault="007D1264">
      <w:pPr>
        <w:ind w:left="2223" w:right="7"/>
      </w:pPr>
      <w:r>
        <w:t xml:space="preserve">5.2.1 Supply a Provider-owned ATS (or have the licence to operate and configure an ATS) for use in any campaigns under this contract. </w:t>
      </w:r>
    </w:p>
    <w:p w14:paraId="533D422E" w14:textId="77777777" w:rsidR="007D1264" w:rsidRDefault="007D1264">
      <w:pPr>
        <w:ind w:left="2223" w:right="4"/>
      </w:pPr>
      <w:r>
        <w:t xml:space="preserve">5.2.2 The ATS must manage candidates efficiently through the recruitment and onboarding process with the appropriate communications capabilities, data capturing and reporting capability, as listed in this Statement of Requirements. </w:t>
      </w:r>
    </w:p>
    <w:p w14:paraId="7020C283" w14:textId="77777777" w:rsidR="007D1264" w:rsidRDefault="007D1264">
      <w:pPr>
        <w:ind w:left="2223" w:right="4"/>
      </w:pPr>
      <w:r>
        <w:t xml:space="preserve">5.2.3 The ATS (and all other Provider services) must reflect the Home Office brand and experience and offer candidates seamless passage through the recruitment process (i.e., without needing to go off to other sites to complete assessments). The ATS must be able to track candidates automatically throughout the recruitment process and forecast landing dates to give corporate enablers and business areas visibility of when candidates are likely to arrive in post. </w:t>
      </w:r>
    </w:p>
    <w:p w14:paraId="33D319B2" w14:textId="77777777" w:rsidR="007D1264" w:rsidRDefault="007D1264">
      <w:pPr>
        <w:ind w:left="2223" w:right="9"/>
      </w:pPr>
      <w:r>
        <w:t xml:space="preserve">5.2.4 The ATS must prompt candidates to complete started applications, send reminders and keep them informed of their progress. </w:t>
      </w:r>
    </w:p>
    <w:p w14:paraId="448D901D" w14:textId="77777777" w:rsidR="007D1264" w:rsidRDefault="007D1264">
      <w:pPr>
        <w:ind w:left="2223" w:right="1"/>
      </w:pPr>
      <w:r>
        <w:t xml:space="preserve">5.2.5 Provide Vacancy Holders, nominated HORC staff and the HORC Analytics team with the appropriate level of access to the ATS and its data. The level of access will depend on the stakeholder, but the HORC Analytics team will require full access to all Home Office data on the Provider’s ATS. </w:t>
      </w:r>
    </w:p>
    <w:p w14:paraId="05DE8932" w14:textId="77777777" w:rsidR="007D1264" w:rsidRDefault="007D1264">
      <w:pPr>
        <w:ind w:left="2223" w:right="3"/>
      </w:pPr>
      <w:r>
        <w:t xml:space="preserve">5.2.6 The Provider may at some point be required to migrate their operations under this contract to a Home Office-owned ATS. The Provider will be required to work with the Home Office to ensure a seamless transfer of operations and candidate data from the Provider’s ATS to the Home Office’s ATS. Any transition costs </w:t>
      </w:r>
    </w:p>
    <w:p w14:paraId="454202C7" w14:textId="77777777" w:rsidR="007D1264" w:rsidRDefault="007D1264">
      <w:pPr>
        <w:spacing w:after="269"/>
        <w:ind w:left="2216"/>
      </w:pPr>
      <w:r>
        <w:t xml:space="preserve">should be included upfront as part of the implementation of the ATS (see costing model). </w:t>
      </w:r>
    </w:p>
    <w:p w14:paraId="10716E4D" w14:textId="77777777" w:rsidR="007D1264" w:rsidRDefault="007D1264">
      <w:pPr>
        <w:pStyle w:val="Heading2"/>
        <w:tabs>
          <w:tab w:val="center" w:pos="1302"/>
          <w:tab w:val="center" w:pos="4865"/>
        </w:tabs>
      </w:pPr>
      <w:r>
        <w:rPr>
          <w:rFonts w:ascii="Calibri" w:eastAsia="Calibri" w:hAnsi="Calibri" w:cs="Calibri"/>
          <w:b w:val="0"/>
          <w:sz w:val="22"/>
        </w:rPr>
        <w:tab/>
      </w:r>
      <w:r>
        <w:rPr>
          <w:rFonts w:ascii="Arial" w:eastAsia="Arial" w:hAnsi="Arial" w:cs="Arial"/>
          <w:b w:val="0"/>
          <w:sz w:val="24"/>
        </w:rPr>
        <w:t xml:space="preserve">5.3 </w:t>
      </w:r>
      <w:r>
        <w:rPr>
          <w:rFonts w:ascii="Arial" w:eastAsia="Arial" w:hAnsi="Arial" w:cs="Arial"/>
          <w:b w:val="0"/>
          <w:sz w:val="24"/>
        </w:rPr>
        <w:tab/>
      </w:r>
      <w:r>
        <w:t xml:space="preserve">Campaign Set Up &amp; Programme Management </w:t>
      </w:r>
    </w:p>
    <w:p w14:paraId="6AA149ED" w14:textId="77777777" w:rsidR="007D1264" w:rsidRDefault="007D1264">
      <w:pPr>
        <w:ind w:left="2223" w:right="6"/>
      </w:pPr>
      <w:r>
        <w:t xml:space="preserve">5.3.1 Attend planning meetings (inc. video conferencing) with key vacancy managers and stakeholders involved in the project and be prepared to travel when necessary. </w:t>
      </w:r>
    </w:p>
    <w:p w14:paraId="489DEDA7" w14:textId="77777777" w:rsidR="007D1264" w:rsidRDefault="007D1264">
      <w:pPr>
        <w:ind w:left="720" w:right="713"/>
      </w:pPr>
      <w:r>
        <w:lastRenderedPageBreak/>
        <w:t xml:space="preserve">Stakeholders involved in the Campaign Set Up Phase may include: </w:t>
      </w:r>
    </w:p>
    <w:p w14:paraId="6DB2F05D" w14:textId="77777777" w:rsidR="007D1264" w:rsidRDefault="007D1264" w:rsidP="007D1264">
      <w:pPr>
        <w:numPr>
          <w:ilvl w:val="0"/>
          <w:numId w:val="9"/>
        </w:numPr>
        <w:spacing w:after="233" w:line="249" w:lineRule="auto"/>
        <w:ind w:right="713" w:hanging="360"/>
        <w:jc w:val="both"/>
      </w:pPr>
      <w:r>
        <w:t xml:space="preserve">Resourcing Consultants from HORC </w:t>
      </w:r>
    </w:p>
    <w:p w14:paraId="04BC11AE" w14:textId="77777777" w:rsidR="007D1264" w:rsidRDefault="007D1264" w:rsidP="007D1264">
      <w:pPr>
        <w:numPr>
          <w:ilvl w:val="0"/>
          <w:numId w:val="9"/>
        </w:numPr>
        <w:spacing w:after="233" w:line="249" w:lineRule="auto"/>
        <w:ind w:right="713" w:hanging="360"/>
        <w:jc w:val="both"/>
      </w:pPr>
      <w:r>
        <w:t xml:space="preserve">Campaign team members from HORC </w:t>
      </w:r>
    </w:p>
    <w:p w14:paraId="3DFEF749" w14:textId="77777777" w:rsidR="007D1264" w:rsidRDefault="007D1264" w:rsidP="007D1264">
      <w:pPr>
        <w:numPr>
          <w:ilvl w:val="0"/>
          <w:numId w:val="9"/>
        </w:numPr>
        <w:spacing w:after="233" w:line="249" w:lineRule="auto"/>
        <w:ind w:right="713" w:hanging="360"/>
        <w:jc w:val="both"/>
      </w:pPr>
      <w:r>
        <w:t xml:space="preserve">The Contract Manager responsible for this contract from HORC. </w:t>
      </w:r>
    </w:p>
    <w:p w14:paraId="79617266" w14:textId="77777777" w:rsidR="007D1264" w:rsidRDefault="007D1264" w:rsidP="007D1264">
      <w:pPr>
        <w:numPr>
          <w:ilvl w:val="0"/>
          <w:numId w:val="9"/>
        </w:numPr>
        <w:spacing w:after="233" w:line="249" w:lineRule="auto"/>
        <w:ind w:right="713" w:hanging="360"/>
        <w:jc w:val="both"/>
      </w:pPr>
      <w:r>
        <w:t xml:space="preserve">Business leads and vacancy holders </w:t>
      </w:r>
    </w:p>
    <w:p w14:paraId="2A6EACD1" w14:textId="77777777" w:rsidR="007D1264" w:rsidRDefault="007D1264" w:rsidP="007D1264">
      <w:pPr>
        <w:numPr>
          <w:ilvl w:val="0"/>
          <w:numId w:val="9"/>
        </w:numPr>
        <w:spacing w:after="233" w:line="249" w:lineRule="auto"/>
        <w:ind w:right="713" w:hanging="360"/>
        <w:jc w:val="both"/>
      </w:pPr>
      <w:r>
        <w:t xml:space="preserve">HORC Brand and Marketing team. </w:t>
      </w:r>
    </w:p>
    <w:p w14:paraId="72E887D8" w14:textId="77777777" w:rsidR="007D1264" w:rsidRDefault="007D1264">
      <w:pPr>
        <w:ind w:left="2223"/>
      </w:pPr>
      <w:r>
        <w:t xml:space="preserve">5.3.2 Take a full brief of scope of work from business area and vacancy holder in consultation with HORC as appropriate. </w:t>
      </w:r>
    </w:p>
    <w:p w14:paraId="5DB052F7" w14:textId="77777777" w:rsidR="007D1264" w:rsidRDefault="007D1264">
      <w:pPr>
        <w:spacing w:after="0" w:line="245" w:lineRule="auto"/>
        <w:ind w:left="2223"/>
      </w:pPr>
      <w:r>
        <w:t xml:space="preserve">5.3.3 </w:t>
      </w:r>
      <w:r>
        <w:tab/>
        <w:t xml:space="preserve">Ensure understanding of and compliance with the Civil Service Commission Recruitment Principles details of which can be found here:  </w:t>
      </w:r>
      <w:hyperlink r:id="rId38">
        <w:r>
          <w:rPr>
            <w:color w:val="0000FF"/>
            <w:u w:val="single" w:color="0000FF"/>
          </w:rPr>
          <w:t>http://civilservicecommission.independent.gov.uk/civil</w:t>
        </w:r>
      </w:hyperlink>
      <w:hyperlink r:id="rId39">
        <w:r>
          <w:rPr>
            <w:color w:val="0000FF"/>
            <w:u w:val="single" w:color="0000FF"/>
          </w:rPr>
          <w:t>-</w:t>
        </w:r>
      </w:hyperlink>
      <w:hyperlink r:id="rId40">
        <w:r>
          <w:rPr>
            <w:color w:val="0000FF"/>
            <w:u w:val="single" w:color="0000FF"/>
          </w:rPr>
          <w:t>service</w:t>
        </w:r>
      </w:hyperlink>
      <w:hyperlink r:id="rId41"/>
      <w:hyperlink r:id="rId42">
        <w:r>
          <w:rPr>
            <w:color w:val="0000FF"/>
            <w:u w:val="single" w:color="0000FF"/>
          </w:rPr>
          <w:t>recruitment/</w:t>
        </w:r>
      </w:hyperlink>
      <w:hyperlink r:id="rId43">
        <w:r>
          <w:t xml:space="preserve"> </w:t>
        </w:r>
      </w:hyperlink>
    </w:p>
    <w:p w14:paraId="506BC457" w14:textId="77777777" w:rsidR="007D1264" w:rsidRDefault="007D1264">
      <w:pPr>
        <w:spacing w:after="0" w:line="259" w:lineRule="auto"/>
        <w:ind w:left="1800"/>
      </w:pPr>
      <w:r>
        <w:t xml:space="preserve"> </w:t>
      </w:r>
    </w:p>
    <w:p w14:paraId="51582C0D" w14:textId="77777777" w:rsidR="007D1264" w:rsidRDefault="007D1264">
      <w:pPr>
        <w:spacing w:after="234" w:line="245" w:lineRule="auto"/>
        <w:ind w:left="2223"/>
      </w:pPr>
      <w:r>
        <w:t xml:space="preserve">5.3.4 </w:t>
      </w:r>
      <w:r>
        <w:tab/>
        <w:t xml:space="preserve">Ensure understanding of and commitment to the Civil Service Diversity and Inclusion Strategy details of which can be found here: </w:t>
      </w:r>
      <w:r>
        <w:tab/>
      </w:r>
      <w:hyperlink r:id="rId44">
        <w:r>
          <w:rPr>
            <w:color w:val="0000FF"/>
            <w:u w:val="single" w:color="0000FF"/>
          </w:rPr>
          <w:t>https://www.gov.uk/government/publications/a</w:t>
        </w:r>
      </w:hyperlink>
      <w:hyperlink r:id="rId45">
        <w:r>
          <w:rPr>
            <w:color w:val="0000FF"/>
            <w:u w:val="single" w:color="0000FF"/>
          </w:rPr>
          <w:t>-</w:t>
        </w:r>
      </w:hyperlink>
      <w:hyperlink r:id="rId46">
        <w:r>
          <w:rPr>
            <w:color w:val="0000FF"/>
            <w:u w:val="single" w:color="0000FF"/>
          </w:rPr>
          <w:t>brilliant</w:t>
        </w:r>
      </w:hyperlink>
      <w:hyperlink r:id="rId47"/>
      <w:hyperlink r:id="rId48">
        <w:r>
          <w:rPr>
            <w:color w:val="0000FF"/>
            <w:u w:val="single" w:color="0000FF"/>
          </w:rPr>
          <w:t>civil</w:t>
        </w:r>
      </w:hyperlink>
      <w:hyperlink r:id="rId49">
        <w:r>
          <w:rPr>
            <w:color w:val="0000FF"/>
            <w:u w:val="single" w:color="0000FF"/>
          </w:rPr>
          <w:t>-</w:t>
        </w:r>
      </w:hyperlink>
      <w:hyperlink r:id="rId50">
        <w:r>
          <w:rPr>
            <w:color w:val="0000FF"/>
            <w:u w:val="single" w:color="0000FF"/>
          </w:rPr>
          <w:t>service</w:t>
        </w:r>
      </w:hyperlink>
      <w:hyperlink r:id="rId51">
        <w:r>
          <w:rPr>
            <w:color w:val="0000FF"/>
            <w:u w:val="single" w:color="0000FF"/>
          </w:rPr>
          <w:t>-</w:t>
        </w:r>
      </w:hyperlink>
      <w:hyperlink r:id="rId52">
        <w:r>
          <w:rPr>
            <w:color w:val="0000FF"/>
            <w:u w:val="single" w:color="0000FF"/>
          </w:rPr>
          <w:t>becoming</w:t>
        </w:r>
      </w:hyperlink>
      <w:hyperlink r:id="rId53">
        <w:r>
          <w:rPr>
            <w:color w:val="0000FF"/>
            <w:u w:val="single" w:color="0000FF"/>
          </w:rPr>
          <w:t>-</w:t>
        </w:r>
      </w:hyperlink>
      <w:hyperlink r:id="rId54">
        <w:r>
          <w:rPr>
            <w:color w:val="0000FF"/>
            <w:u w:val="single" w:color="0000FF"/>
          </w:rPr>
          <w:t>the</w:t>
        </w:r>
      </w:hyperlink>
      <w:hyperlink r:id="rId55">
        <w:r>
          <w:rPr>
            <w:color w:val="0000FF"/>
            <w:u w:val="single" w:color="0000FF"/>
          </w:rPr>
          <w:t>-</w:t>
        </w:r>
      </w:hyperlink>
      <w:hyperlink r:id="rId56">
        <w:r>
          <w:rPr>
            <w:color w:val="0000FF"/>
            <w:u w:val="single" w:color="0000FF"/>
          </w:rPr>
          <w:t>uks</w:t>
        </w:r>
      </w:hyperlink>
      <w:hyperlink r:id="rId57">
        <w:r>
          <w:rPr>
            <w:color w:val="0000FF"/>
            <w:u w:val="single" w:color="0000FF"/>
          </w:rPr>
          <w:t>-</w:t>
        </w:r>
      </w:hyperlink>
      <w:hyperlink r:id="rId58">
        <w:r>
          <w:rPr>
            <w:color w:val="0000FF"/>
            <w:u w:val="single" w:color="0000FF"/>
          </w:rPr>
          <w:t>most</w:t>
        </w:r>
      </w:hyperlink>
      <w:hyperlink r:id="rId59">
        <w:r>
          <w:rPr>
            <w:color w:val="0000FF"/>
            <w:u w:val="single" w:color="0000FF"/>
          </w:rPr>
          <w:t>-</w:t>
        </w:r>
      </w:hyperlink>
      <w:hyperlink r:id="rId60">
        <w:r>
          <w:rPr>
            <w:color w:val="0000FF"/>
            <w:u w:val="single" w:color="0000FF"/>
          </w:rPr>
          <w:t>inclusive</w:t>
        </w:r>
      </w:hyperlink>
      <w:hyperlink r:id="rId61">
        <w:r>
          <w:rPr>
            <w:color w:val="0000FF"/>
            <w:u w:val="single" w:color="0000FF"/>
          </w:rPr>
          <w:t>-</w:t>
        </w:r>
      </w:hyperlink>
      <w:hyperlink r:id="rId62">
        <w:r>
          <w:rPr>
            <w:color w:val="0000FF"/>
            <w:u w:val="single" w:color="0000FF"/>
          </w:rPr>
          <w:t>employer</w:t>
        </w:r>
      </w:hyperlink>
      <w:hyperlink r:id="rId63">
        <w:r>
          <w:t xml:space="preserve"> </w:t>
        </w:r>
      </w:hyperlink>
    </w:p>
    <w:p w14:paraId="3E9EBE86" w14:textId="77777777" w:rsidR="007D1264" w:rsidRDefault="007D1264">
      <w:pPr>
        <w:ind w:left="2223" w:right="4"/>
      </w:pPr>
      <w:r>
        <w:t xml:space="preserve">5.3.5 Develop strategies on how to attract more candidates with protected characteristics (for example, age, race, sexual orientation etc). </w:t>
      </w:r>
    </w:p>
    <w:p w14:paraId="6AFFDF50" w14:textId="77777777" w:rsidR="007D1264" w:rsidRDefault="007D1264">
      <w:pPr>
        <w:ind w:left="2223" w:right="3"/>
      </w:pPr>
      <w:r>
        <w:t xml:space="preserve">5.3.6 Develop strategies on how to attract candidates in hard to fill locations (for example, Stoke, where there is internal competition for candidates with other government departments, or Central London where there is competition with the private sector, or for example in Dover/Folkestone, where labour demand outstrips local labour supply). </w:t>
      </w:r>
    </w:p>
    <w:p w14:paraId="7526E896" w14:textId="77777777" w:rsidR="007D1264" w:rsidRDefault="007D1264">
      <w:pPr>
        <w:ind w:left="2223" w:right="4"/>
      </w:pPr>
      <w:r>
        <w:t xml:space="preserve">5.3.7 Have a diverse and inclusive workforce, particularly when required to undertake sifting and interviewing, to meet the Home Office’s diverse panels requirement. </w:t>
      </w:r>
    </w:p>
    <w:p w14:paraId="70B5AB50" w14:textId="77777777" w:rsidR="007D1264" w:rsidRDefault="007D1264">
      <w:pPr>
        <w:ind w:left="2223" w:right="4"/>
      </w:pPr>
      <w:r>
        <w:t xml:space="preserve">5.3.8 Carry out job analysis with Occupational Psychologist input and consultation with senior stakeholders to help structure the campaign as necessary.  </w:t>
      </w:r>
    </w:p>
    <w:p w14:paraId="047A20C4" w14:textId="77777777" w:rsidR="007D1264" w:rsidRDefault="007D1264">
      <w:pPr>
        <w:ind w:left="2223" w:right="3"/>
      </w:pPr>
      <w:r>
        <w:t xml:space="preserve">5.3.9 Ensure an understanding of and fully support the Home Office, including a good understanding of the labour market for Home Office roles, bearing in mind some negative perceptions of Home Office roles, particularly those in scope of this contract. </w:t>
      </w:r>
    </w:p>
    <w:p w14:paraId="5C47A6B0" w14:textId="77777777" w:rsidR="007D1264" w:rsidRDefault="007D1264">
      <w:pPr>
        <w:ind w:left="2223" w:right="7"/>
      </w:pPr>
      <w:r>
        <w:lastRenderedPageBreak/>
        <w:t xml:space="preserve">5.3.10 Provide a robust proposal highlighting how success will be achieved (using an evidence-based approach), as well as ensuring value for money and innovation.  All spending commitments must be approved in advance by the vacancy holder, and a Purchase Order obtained before work commences. </w:t>
      </w:r>
    </w:p>
    <w:p w14:paraId="43D2A393" w14:textId="77777777" w:rsidR="007D1264" w:rsidRDefault="007D1264">
      <w:pPr>
        <w:ind w:left="2223" w:right="3"/>
      </w:pPr>
      <w:r>
        <w:t xml:space="preserve">5.3.11 Provide expertise and advice on all potential EIA issues (helping the Home Office adhere to and exceed current best practice). Create appropriate EIAs to be approved by HORC.  </w:t>
      </w:r>
    </w:p>
    <w:p w14:paraId="02DA1EFD" w14:textId="77777777" w:rsidR="007D1264" w:rsidRDefault="007D1264">
      <w:pPr>
        <w:ind w:left="2223" w:right="2"/>
      </w:pPr>
      <w:r>
        <w:t xml:space="preserve">5.3.12 Agree management information reporting requirements for campaign. At a minimum, the data fields listed in Annex 1 (Data Headers) must be captured for every campaign. The Provider should also forecast “landing dates” for each candidate based on their expected first day in the business, so IT and training can be arranged accordingly. </w:t>
      </w:r>
    </w:p>
    <w:p w14:paraId="04E3888F" w14:textId="77777777" w:rsidR="007D1264" w:rsidRDefault="007D1264">
      <w:pPr>
        <w:ind w:left="2223" w:right="4"/>
      </w:pPr>
      <w:r>
        <w:t xml:space="preserve">5.3.13 Create recruitment microsites as required and support the Home Office in using the Home Office Careers as part of an optimized user journey for campaigns, as is the Home Office’s preference on a campaign-by-campaign basis. </w:t>
      </w:r>
    </w:p>
    <w:p w14:paraId="27FA95B8" w14:textId="77777777" w:rsidR="007D1264" w:rsidRDefault="007D1264">
      <w:pPr>
        <w:spacing w:after="269"/>
        <w:ind w:left="2223" w:right="4"/>
      </w:pPr>
      <w:r>
        <w:t xml:space="preserve">5.3.14 Demonstrate agility and responsiveness to in-flight, unforeseen changes to the campaign requirements that are likely to arise for campaigns that are already launched. The Provider must work collaboratively with HORC to address any challenges and issues that such changes create. </w:t>
      </w:r>
    </w:p>
    <w:p w14:paraId="534E6E0E" w14:textId="77777777" w:rsidR="007D1264" w:rsidRDefault="007D1264">
      <w:pPr>
        <w:pStyle w:val="Heading2"/>
        <w:ind w:left="1852" w:hanging="720"/>
      </w:pPr>
      <w:r>
        <w:rPr>
          <w:rFonts w:ascii="Arial" w:eastAsia="Arial" w:hAnsi="Arial" w:cs="Arial"/>
          <w:b w:val="0"/>
          <w:sz w:val="24"/>
        </w:rPr>
        <w:t xml:space="preserve">5.4 </w:t>
      </w:r>
      <w:r>
        <w:t xml:space="preserve">Set up online application and candidate management facility (where required)   </w:t>
      </w:r>
    </w:p>
    <w:p w14:paraId="02E0DEDA" w14:textId="77777777" w:rsidR="007D1264" w:rsidRDefault="007D1264">
      <w:pPr>
        <w:tabs>
          <w:tab w:val="center" w:pos="1402"/>
          <w:tab w:val="center" w:pos="4771"/>
        </w:tabs>
      </w:pPr>
      <w:r>
        <w:rPr>
          <w:rFonts w:cs="Calibri"/>
        </w:rPr>
        <w:tab/>
      </w:r>
      <w:r>
        <w:t xml:space="preserve">5.4.1 </w:t>
      </w:r>
      <w:r>
        <w:tab/>
        <w:t xml:space="preserve">Ensure correct Home Office branding is applied. </w:t>
      </w:r>
    </w:p>
    <w:p w14:paraId="07D1FF34" w14:textId="77777777" w:rsidR="007D1264" w:rsidRDefault="007D1264">
      <w:pPr>
        <w:ind w:left="2223"/>
      </w:pPr>
      <w:r>
        <w:t xml:space="preserve">5.4.2 Design and create campaign landing page (subject to final approval by HORC). </w:t>
      </w:r>
    </w:p>
    <w:p w14:paraId="1E38359A" w14:textId="77777777" w:rsidR="007D1264" w:rsidRDefault="007D1264">
      <w:pPr>
        <w:sectPr w:rsidR="007D1264" w:rsidSect="00430A1B">
          <w:footerReference w:type="even" r:id="rId64"/>
          <w:footerReference w:type="default" r:id="rId65"/>
          <w:footerReference w:type="first" r:id="rId66"/>
          <w:pgSz w:w="11906" w:h="16838"/>
          <w:pgMar w:top="1440" w:right="1440" w:bottom="1440" w:left="1440" w:header="708" w:footer="708" w:gutter="0"/>
          <w:pgNumType w:start="1"/>
          <w:cols w:space="720"/>
        </w:sectPr>
      </w:pPr>
    </w:p>
    <w:p w14:paraId="6D6D18E5" w14:textId="77777777" w:rsidR="007D1264" w:rsidRDefault="007D1264">
      <w:pPr>
        <w:ind w:left="2223" w:right="713"/>
      </w:pPr>
      <w:r>
        <w:lastRenderedPageBreak/>
        <w:t xml:space="preserve">5.4.3 Design and host an Applicant Tracking System (ATS).  The Provider may be required to onboard or integrate with an ATS that the Home Office is seeking to acquire and use in the future. </w:t>
      </w:r>
    </w:p>
    <w:p w14:paraId="0D60F07C" w14:textId="77777777" w:rsidR="007D1264" w:rsidRDefault="007D1264">
      <w:pPr>
        <w:ind w:left="2223" w:right="713"/>
      </w:pPr>
      <w:r>
        <w:t xml:space="preserve">5.4.4 Manage advertisement production and placement as necessary with third parties as appropriate, subject to final approval by HORC. </w:t>
      </w:r>
    </w:p>
    <w:p w14:paraId="5AF6747A" w14:textId="77777777" w:rsidR="007D1264" w:rsidRDefault="007D1264">
      <w:pPr>
        <w:ind w:left="2223" w:right="713"/>
      </w:pPr>
      <w:r>
        <w:t xml:space="preserve">5.4.5 Ensure offline application is available for applicants who are unable to access online content. Ensure that this adheres to the Home Office Reasonable Adjustment policy for recruitment.  </w:t>
      </w:r>
    </w:p>
    <w:p w14:paraId="3BDF4556" w14:textId="77777777" w:rsidR="007D1264" w:rsidRDefault="007D1264">
      <w:pPr>
        <w:tabs>
          <w:tab w:val="center" w:pos="1414"/>
          <w:tab w:val="center" w:pos="5636"/>
        </w:tabs>
        <w:spacing w:after="10"/>
      </w:pPr>
      <w:r>
        <w:rPr>
          <w:rFonts w:cs="Calibri"/>
        </w:rPr>
        <w:tab/>
      </w:r>
      <w:r>
        <w:t xml:space="preserve">5.4.6 </w:t>
      </w:r>
      <w:r>
        <w:tab/>
        <w:t xml:space="preserve">Manage DCS applicants in accordance with legislation. Manage </w:t>
      </w:r>
    </w:p>
    <w:p w14:paraId="7F73C5FC" w14:textId="77777777" w:rsidR="007D1264" w:rsidRDefault="007D1264">
      <w:pPr>
        <w:ind w:left="2228" w:right="713"/>
      </w:pPr>
      <w:r>
        <w:t xml:space="preserve">applicants from redeployment schemes in line with Home Office policy and process </w:t>
      </w:r>
    </w:p>
    <w:p w14:paraId="177F5B45" w14:textId="77777777" w:rsidR="007D1264" w:rsidRDefault="007D1264">
      <w:pPr>
        <w:ind w:left="2223" w:right="713"/>
      </w:pPr>
      <w:r>
        <w:t xml:space="preserve">5.4.7 Manage candidate correspondence, notification of results, and   presentation of candidate papers. </w:t>
      </w:r>
    </w:p>
    <w:p w14:paraId="0BDD3053" w14:textId="77777777" w:rsidR="007D1264" w:rsidRDefault="007D1264">
      <w:pPr>
        <w:ind w:left="2223" w:right="713"/>
      </w:pPr>
      <w:r>
        <w:t xml:space="preserve">5.4.8 Remove manual intervention from the recruitment process as much as possible, whilst ensuring that process automation does not exclude any groups from applying.  </w:t>
      </w:r>
    </w:p>
    <w:p w14:paraId="3F9393DA" w14:textId="77777777" w:rsidR="007D1264" w:rsidRDefault="007D1264">
      <w:pPr>
        <w:ind w:left="2223" w:right="713"/>
      </w:pPr>
      <w:r>
        <w:t xml:space="preserve">5.4.9 Capture and provide management information as requested throughout the campaign, regularly feeding back progress or issues to the vacancy holder at intervals to be agreed during the initial set up of the campaign. </w:t>
      </w:r>
    </w:p>
    <w:p w14:paraId="1B9BF8C6" w14:textId="77777777" w:rsidR="007D1264" w:rsidRDefault="007D1264">
      <w:pPr>
        <w:spacing w:after="269"/>
        <w:ind w:left="2223" w:right="713"/>
      </w:pPr>
      <w:r>
        <w:t xml:space="preserve">5.4.10 It is expected that all Provider staff and associates dealing directly with candidates will have a full understanding of the roles, context, and full recruitment process, such that the candidate journey is a smooth one, and confusion is avoided. </w:t>
      </w:r>
    </w:p>
    <w:p w14:paraId="49A390F5" w14:textId="77777777" w:rsidR="007D1264" w:rsidRDefault="007D1264">
      <w:pPr>
        <w:pStyle w:val="Heading2"/>
        <w:tabs>
          <w:tab w:val="center" w:pos="1314"/>
          <w:tab w:val="center" w:pos="4761"/>
        </w:tabs>
      </w:pPr>
      <w:r>
        <w:rPr>
          <w:rFonts w:ascii="Calibri" w:eastAsia="Calibri" w:hAnsi="Calibri" w:cs="Calibri"/>
          <w:b w:val="0"/>
          <w:sz w:val="22"/>
        </w:rPr>
        <w:tab/>
      </w:r>
      <w:r>
        <w:rPr>
          <w:rFonts w:ascii="Arial" w:eastAsia="Arial" w:hAnsi="Arial" w:cs="Arial"/>
          <w:b w:val="0"/>
          <w:sz w:val="24"/>
        </w:rPr>
        <w:t xml:space="preserve">5.5 </w:t>
      </w:r>
      <w:r>
        <w:rPr>
          <w:rFonts w:ascii="Arial" w:eastAsia="Arial" w:hAnsi="Arial" w:cs="Arial"/>
          <w:b w:val="0"/>
          <w:sz w:val="24"/>
        </w:rPr>
        <w:tab/>
      </w:r>
      <w:r>
        <w:t xml:space="preserve">Candidate Attraction Strategy Development  </w:t>
      </w:r>
    </w:p>
    <w:p w14:paraId="22FCD65B" w14:textId="77777777" w:rsidR="007D1264" w:rsidRDefault="007D1264">
      <w:pPr>
        <w:ind w:left="2223" w:right="713"/>
      </w:pPr>
      <w:r>
        <w:t xml:space="preserve">5.5.1 Invest valuable time with the Home Office to understand fully the target audience and type of resource it requires for each campaign. Develop and implement successful candidate attraction strategies that consider geographical, sector/skill specific factors and any potential salary pressures and with particular focus on underrepresented groups (for example, attracting more female candidates to Border Force roles). Be prepared if required to present and support this data from research &amp; analysis to lead discussions as necessary at offer and acceptance stage. </w:t>
      </w:r>
    </w:p>
    <w:p w14:paraId="58B8223F" w14:textId="77777777" w:rsidR="007D1264" w:rsidRDefault="007D1264">
      <w:pPr>
        <w:ind w:left="2223" w:right="713"/>
      </w:pPr>
      <w:r>
        <w:t xml:space="preserve">5.5.2 Demonstrate their effectiveness at attracting high quality candidates in competitive markets where the required skills are </w:t>
      </w:r>
    </w:p>
    <w:p w14:paraId="2B06A5C7" w14:textId="77777777" w:rsidR="007D1264" w:rsidRDefault="007D1264">
      <w:pPr>
        <w:ind w:left="2228" w:right="713"/>
      </w:pPr>
      <w:r>
        <w:lastRenderedPageBreak/>
        <w:t xml:space="preserve">scarce, utilising innovation and industry expertise as to what tools and techniques work and support their suggested strategy with the necessary data as required.  </w:t>
      </w:r>
    </w:p>
    <w:p w14:paraId="3912836F" w14:textId="77777777" w:rsidR="007D1264" w:rsidRDefault="007D1264">
      <w:pPr>
        <w:ind w:left="2223" w:right="713"/>
      </w:pPr>
      <w:r>
        <w:t xml:space="preserve">5.5.3 Identify appropriate media channels to utilise to promote Home Office recruitment activity, providing detailed, evidence-based recommendations and an implementation plan with timings, along with any necessary requirements from HORC. The Provider’s proposed media schedule, including costings, should be submitted and approved by the HORC Brand and Experience team following the template set out in Annex 2 (Campaign media schedule). </w:t>
      </w:r>
    </w:p>
    <w:p w14:paraId="1648FF63" w14:textId="77777777" w:rsidR="007D1264" w:rsidRDefault="007D1264">
      <w:pPr>
        <w:ind w:left="2223" w:right="713"/>
      </w:pPr>
      <w:r>
        <w:t xml:space="preserve">5.5.4 Recommend necessary expenditure for campaigns and provide benefits/evidence to justify proposed expenditure, including what channels to be used and where to meet campaign hire targets. </w:t>
      </w:r>
    </w:p>
    <w:p w14:paraId="097A2613" w14:textId="77777777" w:rsidR="007D1264" w:rsidRDefault="007D1264">
      <w:pPr>
        <w:ind w:left="2223" w:right="713"/>
      </w:pPr>
      <w:r>
        <w:t xml:space="preserve">5.5.5 Use data and learning to drive improvements in attracting candidates to Home Office roles. </w:t>
      </w:r>
    </w:p>
    <w:p w14:paraId="2E1367B7" w14:textId="77777777" w:rsidR="007D1264" w:rsidRDefault="007D1264">
      <w:pPr>
        <w:ind w:left="2223" w:right="713"/>
      </w:pPr>
      <w:r>
        <w:t xml:space="preserve">5.5.6 Be proactive and responsive to amending campaign strategies to find and engage candidates if a recruitment campaign looks unlikely to hit its hire target. </w:t>
      </w:r>
    </w:p>
    <w:p w14:paraId="397EB5E4" w14:textId="77777777" w:rsidR="007D1264" w:rsidRDefault="007D1264">
      <w:pPr>
        <w:ind w:left="2223" w:right="713"/>
      </w:pPr>
      <w:r>
        <w:t xml:space="preserve">5.5.7 Understand and provide reasonable adjustments for candidates requiring these, and work with the Home Office to improve its inclusivity as an employer. </w:t>
      </w:r>
    </w:p>
    <w:p w14:paraId="4D14C092" w14:textId="77777777" w:rsidR="007D1264" w:rsidRDefault="007D1264">
      <w:pPr>
        <w:spacing w:after="270"/>
        <w:ind w:left="2223" w:right="713"/>
      </w:pPr>
      <w:r>
        <w:t xml:space="preserve">5.5.8 Ensure that all online products are brought under the Home Office Careers website to create a consistent look and feel and user journey, or via a standalone campaign microsite, depending on the HORC’s preference on a campaign-by-campaign basis. </w:t>
      </w:r>
    </w:p>
    <w:p w14:paraId="302C8B97" w14:textId="77777777" w:rsidR="007D1264" w:rsidRDefault="007D1264">
      <w:pPr>
        <w:pStyle w:val="Heading2"/>
        <w:tabs>
          <w:tab w:val="center" w:pos="1314"/>
          <w:tab w:val="center" w:pos="4582"/>
        </w:tabs>
      </w:pPr>
      <w:r>
        <w:rPr>
          <w:rFonts w:ascii="Calibri" w:eastAsia="Calibri" w:hAnsi="Calibri" w:cs="Calibri"/>
          <w:b w:val="0"/>
          <w:sz w:val="22"/>
        </w:rPr>
        <w:tab/>
      </w:r>
      <w:r>
        <w:rPr>
          <w:rFonts w:ascii="Arial" w:eastAsia="Arial" w:hAnsi="Arial" w:cs="Arial"/>
          <w:b w:val="0"/>
          <w:sz w:val="24"/>
        </w:rPr>
        <w:t xml:space="preserve">5.6 </w:t>
      </w:r>
      <w:r>
        <w:rPr>
          <w:rFonts w:ascii="Arial" w:eastAsia="Arial" w:hAnsi="Arial" w:cs="Arial"/>
          <w:b w:val="0"/>
          <w:sz w:val="24"/>
        </w:rPr>
        <w:tab/>
      </w:r>
      <w:r>
        <w:t xml:space="preserve">Candidate Attraction Additional Services </w:t>
      </w:r>
    </w:p>
    <w:p w14:paraId="37F3DE92" w14:textId="77777777" w:rsidR="007D1264" w:rsidRDefault="007D1264">
      <w:pPr>
        <w:ind w:left="2223" w:right="713"/>
      </w:pPr>
      <w:r>
        <w:t xml:space="preserve">5.6.1 The services listed below are to be costed, discussed and agreed with HORC and business areas on a campaign-by-campaign basis. </w:t>
      </w:r>
    </w:p>
    <w:p w14:paraId="21AE6227" w14:textId="77777777" w:rsidR="007D1264" w:rsidRDefault="007D1264">
      <w:pPr>
        <w:ind w:left="2223" w:right="713"/>
      </w:pPr>
      <w:r>
        <w:t xml:space="preserve">5.6.2 Provide media buying and media management services for the purposes of candidate attraction. Provide detailed and regular reporting on media and campaign performance. </w:t>
      </w:r>
    </w:p>
    <w:p w14:paraId="39F84736" w14:textId="77777777" w:rsidR="007D1264" w:rsidRDefault="007D1264">
      <w:pPr>
        <w:ind w:left="2223" w:right="713"/>
      </w:pPr>
      <w:r>
        <w:t xml:space="preserve">5.6.3 Provide creative development services for the purposes of candidate attraction, including gathering insight to inform this work. </w:t>
      </w:r>
    </w:p>
    <w:p w14:paraId="04D0C2AE" w14:textId="77777777" w:rsidR="007D1264" w:rsidRDefault="007D1264">
      <w:pPr>
        <w:spacing w:after="234" w:line="245" w:lineRule="auto"/>
        <w:ind w:left="2223" w:right="313"/>
      </w:pPr>
      <w:r>
        <w:lastRenderedPageBreak/>
        <w:t xml:space="preserve">5.6.4 </w:t>
      </w:r>
      <w:r>
        <w:tab/>
        <w:t xml:space="preserve">Make use of virtual reality technology to convey real-life experiences of Home Office roles (e.g., a Border Force Officer’s role at a port). </w:t>
      </w:r>
    </w:p>
    <w:p w14:paraId="57C93B71" w14:textId="77777777" w:rsidR="007D1264" w:rsidRDefault="007D1264">
      <w:pPr>
        <w:spacing w:after="272" w:line="245" w:lineRule="auto"/>
        <w:ind w:left="2223" w:right="313"/>
      </w:pPr>
      <w:r>
        <w:t xml:space="preserve">5.6.5 </w:t>
      </w:r>
      <w:r>
        <w:tab/>
        <w:t xml:space="preserve">Development and management of event programmes to attract potential candidates for each campaign, including outreach events </w:t>
      </w:r>
      <w:r>
        <w:tab/>
        <w:t xml:space="preserve">targeting </w:t>
      </w:r>
      <w:r>
        <w:tab/>
        <w:t xml:space="preserve">underrepresented </w:t>
      </w:r>
      <w:r>
        <w:tab/>
        <w:t xml:space="preserve">demographics </w:t>
      </w:r>
      <w:r>
        <w:tab/>
        <w:t xml:space="preserve">(e.g., candidates from lower socioeconomic backgrounds). </w:t>
      </w:r>
    </w:p>
    <w:p w14:paraId="5DFA3AA9" w14:textId="77777777" w:rsidR="007D1264" w:rsidRDefault="007D1264">
      <w:pPr>
        <w:pStyle w:val="Heading2"/>
        <w:ind w:left="1852" w:hanging="720"/>
      </w:pPr>
      <w:r>
        <w:rPr>
          <w:rFonts w:ascii="Arial" w:eastAsia="Arial" w:hAnsi="Arial" w:cs="Arial"/>
          <w:b w:val="0"/>
          <w:sz w:val="24"/>
        </w:rPr>
        <w:t xml:space="preserve">5.7 </w:t>
      </w:r>
      <w:r>
        <w:rPr>
          <w:rFonts w:ascii="Arial" w:eastAsia="Arial" w:hAnsi="Arial" w:cs="Arial"/>
          <w:b w:val="0"/>
          <w:sz w:val="24"/>
        </w:rPr>
        <w:tab/>
      </w:r>
      <w:r>
        <w:t xml:space="preserve">Response Management, Sifting and Presentation of candidates   </w:t>
      </w:r>
    </w:p>
    <w:p w14:paraId="63A952B7" w14:textId="77777777" w:rsidR="007D1264" w:rsidRDefault="007D1264">
      <w:pPr>
        <w:spacing w:after="234" w:line="245" w:lineRule="auto"/>
        <w:ind w:left="2223" w:right="313"/>
      </w:pPr>
      <w:r>
        <w:t xml:space="preserve">5.7.1 </w:t>
      </w:r>
      <w:r>
        <w:tab/>
        <w:t xml:space="preserve">Provide online applications forms gathering essential biodata as determined by the business area and to satisfy the Home Office requirements. </w:t>
      </w:r>
    </w:p>
    <w:p w14:paraId="71D710D7" w14:textId="77777777" w:rsidR="007D1264" w:rsidRDefault="007D1264">
      <w:pPr>
        <w:spacing w:after="270"/>
        <w:ind w:left="2223" w:right="713"/>
      </w:pPr>
      <w:r>
        <w:t xml:space="preserve">5.7.2 Manage responses online and provide back-up facilities were necessary for any candidates unable to access the internet to submit their applications. </w:t>
      </w:r>
    </w:p>
    <w:p w14:paraId="62AE0A8E" w14:textId="77777777" w:rsidR="007D1264" w:rsidRDefault="007D1264">
      <w:pPr>
        <w:ind w:left="2223" w:right="713"/>
      </w:pPr>
      <w:r>
        <w:t xml:space="preserve">5.7.3 Ensure candidates are regularly communicated with and “kept warm” throughout the recruitment process to reduce candidate attrition, using modern methods of communication including SMS messaging. </w:t>
      </w:r>
    </w:p>
    <w:p w14:paraId="49D7CC91" w14:textId="77777777" w:rsidR="007D1264" w:rsidRDefault="007D1264">
      <w:pPr>
        <w:ind w:left="2223" w:right="713"/>
      </w:pPr>
      <w:r>
        <w:t xml:space="preserve">5.7.4 </w:t>
      </w:r>
      <w:r>
        <w:tab/>
        <w:t xml:space="preserve">Provide both a chatbot solution and a live chat contact centre for any candidate enquiries. </w:t>
      </w:r>
    </w:p>
    <w:p w14:paraId="76CFAE7D" w14:textId="77777777" w:rsidR="007D1264" w:rsidRDefault="007D1264">
      <w:pPr>
        <w:ind w:left="2223" w:right="713"/>
      </w:pPr>
      <w:r>
        <w:t xml:space="preserve">5.7.5 Preliminary sift to shortlist down to the appropriate number using agreed sifting tools/methodologies (these may include online sifting technologies).   </w:t>
      </w:r>
    </w:p>
    <w:p w14:paraId="1865ED1F" w14:textId="77777777" w:rsidR="007D1264" w:rsidRDefault="007D1264">
      <w:pPr>
        <w:spacing w:after="234" w:line="245" w:lineRule="auto"/>
        <w:ind w:left="2223" w:right="313"/>
      </w:pPr>
      <w:r>
        <w:t xml:space="preserve">5.7.6 </w:t>
      </w:r>
      <w:r>
        <w:tab/>
        <w:t xml:space="preserve">Handle DCS and redeployment scheme candidates as appropriate. Ensure adherence to the Home Office Reasonable Adjustments policy for recruitment  </w:t>
      </w:r>
    </w:p>
    <w:p w14:paraId="19466D8B" w14:textId="77777777" w:rsidR="007D1264" w:rsidRDefault="007D1264">
      <w:pPr>
        <w:ind w:left="2223" w:right="713"/>
      </w:pPr>
      <w:r>
        <w:t xml:space="preserve">5.7.7 Administer eligibility checks as required on behalf of the Home Office for each campaign including mandatory right to work checks via an accredited online ID verification tool and Provider and a qualification verification service (including overseas qualifications).  </w:t>
      </w:r>
    </w:p>
    <w:p w14:paraId="3DE53893" w14:textId="77777777" w:rsidR="007D1264" w:rsidRDefault="007D1264">
      <w:pPr>
        <w:ind w:left="2223" w:right="713"/>
      </w:pPr>
      <w:r>
        <w:t xml:space="preserve">5.7.8 Administration and development of cost-effective sifting tools e.g., online testing (either bespoke or off the shelf) appropriate to the role being recruited for, providing sound rationale for use of the proposed tool. </w:t>
      </w:r>
    </w:p>
    <w:p w14:paraId="1DB83965" w14:textId="77777777" w:rsidR="007D1264" w:rsidRDefault="007D1264">
      <w:pPr>
        <w:ind w:left="2223" w:right="713"/>
      </w:pPr>
      <w:r>
        <w:lastRenderedPageBreak/>
        <w:t xml:space="preserve">5.7.9 Provide shortlisting/full sifting services based on individual campaign requirements as defined in the business brief which could include but is not limited to: trained assessors, sifting; candidate search; skills based; strengths based; CV; telephone, either online via the Provider’s ATS. </w:t>
      </w:r>
    </w:p>
    <w:p w14:paraId="3F7E90F0" w14:textId="77777777" w:rsidR="007D1264" w:rsidRDefault="007D1264">
      <w:pPr>
        <w:ind w:left="2223" w:right="713"/>
      </w:pPr>
      <w:r>
        <w:t xml:space="preserve">5.7.10 Full sift records must be kept, where required and the Provider must ensure that:   </w:t>
      </w:r>
    </w:p>
    <w:p w14:paraId="758B1855" w14:textId="77777777" w:rsidR="007D1264" w:rsidRDefault="007D1264" w:rsidP="007D1264">
      <w:pPr>
        <w:numPr>
          <w:ilvl w:val="0"/>
          <w:numId w:val="10"/>
        </w:numPr>
        <w:spacing w:after="233" w:line="249" w:lineRule="auto"/>
        <w:ind w:right="713"/>
        <w:jc w:val="both"/>
      </w:pPr>
      <w:r>
        <w:t xml:space="preserve">They are legible    </w:t>
      </w:r>
    </w:p>
    <w:p w14:paraId="74316A37" w14:textId="77777777" w:rsidR="007D1264" w:rsidRDefault="007D1264" w:rsidP="007D1264">
      <w:pPr>
        <w:numPr>
          <w:ilvl w:val="0"/>
          <w:numId w:val="10"/>
        </w:numPr>
        <w:spacing w:after="233" w:line="249" w:lineRule="auto"/>
        <w:ind w:right="713"/>
        <w:jc w:val="both"/>
      </w:pPr>
      <w:r>
        <w:t xml:space="preserve">They clearly demonstrate that the sift decision was fair and correct   </w:t>
      </w:r>
    </w:p>
    <w:p w14:paraId="26C4AB34" w14:textId="77777777" w:rsidR="007D1264" w:rsidRDefault="007D1264" w:rsidP="007D1264">
      <w:pPr>
        <w:numPr>
          <w:ilvl w:val="0"/>
          <w:numId w:val="10"/>
        </w:numPr>
        <w:spacing w:after="233" w:line="249" w:lineRule="auto"/>
        <w:ind w:right="713"/>
        <w:jc w:val="both"/>
      </w:pPr>
      <w:r>
        <w:t xml:space="preserve">They provide a clear audit trail for each applicant   </w:t>
      </w:r>
    </w:p>
    <w:p w14:paraId="61E8C108" w14:textId="77777777" w:rsidR="007D1264" w:rsidRDefault="007D1264" w:rsidP="007D1264">
      <w:pPr>
        <w:numPr>
          <w:ilvl w:val="0"/>
          <w:numId w:val="10"/>
        </w:numPr>
        <w:spacing w:after="233" w:line="249" w:lineRule="auto"/>
        <w:ind w:right="713"/>
        <w:jc w:val="both"/>
      </w:pPr>
      <w:r>
        <w:t xml:space="preserve">They are passed to the Home Office at appropriate points in the          campaign or entered online as appropriate via the Provider’s ATS.   </w:t>
      </w:r>
    </w:p>
    <w:p w14:paraId="39423343" w14:textId="77777777" w:rsidR="007D1264" w:rsidRDefault="007D1264" w:rsidP="007D1264">
      <w:pPr>
        <w:numPr>
          <w:ilvl w:val="0"/>
          <w:numId w:val="10"/>
        </w:numPr>
        <w:spacing w:after="233" w:line="249" w:lineRule="auto"/>
        <w:ind w:right="713"/>
        <w:jc w:val="both"/>
      </w:pPr>
      <w:r>
        <w:t xml:space="preserve">Those involved in the sifting must have a full understanding of the roles they are sifting for and will be fully qualified in the sifting method (i.e., by experience and training). Controls should be in place to ensure that sifting is consistent and in line with the selection criteria specified.   </w:t>
      </w:r>
    </w:p>
    <w:p w14:paraId="3BB565A2" w14:textId="77777777" w:rsidR="007D1264" w:rsidRDefault="007D1264">
      <w:pPr>
        <w:spacing w:after="270"/>
        <w:ind w:left="2223" w:right="713"/>
      </w:pPr>
      <w:r>
        <w:t xml:space="preserve">5.7.11 Notify candidates promptly of being successful or unsuccessful at this stage.  </w:t>
      </w:r>
    </w:p>
    <w:p w14:paraId="3908DEF4" w14:textId="77777777" w:rsidR="007D1264" w:rsidRDefault="007D1264">
      <w:pPr>
        <w:pStyle w:val="Heading2"/>
        <w:tabs>
          <w:tab w:val="center" w:pos="1314"/>
          <w:tab w:val="center" w:pos="3634"/>
        </w:tabs>
      </w:pPr>
      <w:r>
        <w:rPr>
          <w:rFonts w:ascii="Calibri" w:eastAsia="Calibri" w:hAnsi="Calibri" w:cs="Calibri"/>
          <w:b w:val="0"/>
          <w:sz w:val="22"/>
        </w:rPr>
        <w:tab/>
      </w:r>
      <w:r>
        <w:rPr>
          <w:rFonts w:ascii="Arial" w:eastAsia="Arial" w:hAnsi="Arial" w:cs="Arial"/>
          <w:b w:val="0"/>
          <w:sz w:val="24"/>
        </w:rPr>
        <w:t xml:space="preserve">5.8 </w:t>
      </w:r>
      <w:r>
        <w:rPr>
          <w:rFonts w:ascii="Arial" w:eastAsia="Arial" w:hAnsi="Arial" w:cs="Arial"/>
          <w:b w:val="0"/>
          <w:sz w:val="24"/>
        </w:rPr>
        <w:tab/>
      </w:r>
      <w:r>
        <w:t xml:space="preserve">Assessments &amp; Interviews   </w:t>
      </w:r>
    </w:p>
    <w:p w14:paraId="245E0E15" w14:textId="77777777" w:rsidR="007D1264" w:rsidRDefault="007D1264">
      <w:pPr>
        <w:ind w:left="2223" w:right="713"/>
      </w:pPr>
      <w:r>
        <w:t xml:space="preserve">5.8.1 Liaise with Home Office and arrange, when required, for selected candidates to attend interviews and assessments which may be held anywhere within the UK:   </w:t>
      </w:r>
    </w:p>
    <w:p w14:paraId="474F147E" w14:textId="77777777" w:rsidR="007D1264" w:rsidRDefault="007D1264" w:rsidP="007D1264">
      <w:pPr>
        <w:numPr>
          <w:ilvl w:val="0"/>
          <w:numId w:val="11"/>
        </w:numPr>
        <w:spacing w:after="233" w:line="249" w:lineRule="auto"/>
        <w:ind w:right="713" w:hanging="360"/>
        <w:jc w:val="both"/>
      </w:pPr>
      <w:r>
        <w:t xml:space="preserve">Develop bespoke automated online assessment solutions to assess the essential criteria for roles routed through the contract. Working with HORC and operational colleagues within the Home Office to develop, test and validate these new assessments with the Provider’s Occupational Psychology service. To potentially use external third-party online assessments owned by the Home Office and ensure integration with the Provider’s ATS. </w:t>
      </w:r>
    </w:p>
    <w:p w14:paraId="3FD20FF2" w14:textId="77777777" w:rsidR="007D1264" w:rsidRDefault="007D1264" w:rsidP="007D1264">
      <w:pPr>
        <w:numPr>
          <w:ilvl w:val="0"/>
          <w:numId w:val="11"/>
        </w:numPr>
        <w:spacing w:after="233" w:line="249" w:lineRule="auto"/>
        <w:ind w:right="713" w:hanging="360"/>
        <w:jc w:val="both"/>
      </w:pPr>
      <w:r>
        <w:t xml:space="preserve">Ensure candidates can access these online solutions </w:t>
      </w:r>
    </w:p>
    <w:p w14:paraId="78BA9F83" w14:textId="77777777" w:rsidR="007D1264" w:rsidRDefault="007D1264" w:rsidP="007D1264">
      <w:pPr>
        <w:numPr>
          <w:ilvl w:val="0"/>
          <w:numId w:val="11"/>
        </w:numPr>
        <w:spacing w:after="233" w:line="249" w:lineRule="auto"/>
        <w:ind w:right="713" w:hanging="360"/>
        <w:jc w:val="both"/>
      </w:pPr>
      <w:r>
        <w:t xml:space="preserve">Ensure that capability is available to integrate the Provider’s IT with off-the-shelf online assessments where these are identified as meeting the Home Office’s assessment requirements </w:t>
      </w:r>
    </w:p>
    <w:p w14:paraId="2A86544F" w14:textId="77777777" w:rsidR="007D1264" w:rsidRDefault="007D1264" w:rsidP="007D1264">
      <w:pPr>
        <w:numPr>
          <w:ilvl w:val="0"/>
          <w:numId w:val="11"/>
        </w:numPr>
        <w:spacing w:after="233" w:line="249" w:lineRule="auto"/>
        <w:ind w:right="713" w:hanging="360"/>
        <w:jc w:val="both"/>
      </w:pPr>
      <w:r>
        <w:t xml:space="preserve">Use location or locations specified by Home Office    </w:t>
      </w:r>
    </w:p>
    <w:p w14:paraId="7E5D2DF1" w14:textId="77777777" w:rsidR="007D1264" w:rsidRDefault="007D1264" w:rsidP="007D1264">
      <w:pPr>
        <w:numPr>
          <w:ilvl w:val="0"/>
          <w:numId w:val="11"/>
        </w:numPr>
        <w:spacing w:after="233" w:line="249" w:lineRule="auto"/>
        <w:ind w:right="713" w:hanging="360"/>
        <w:jc w:val="both"/>
      </w:pPr>
      <w:r>
        <w:lastRenderedPageBreak/>
        <w:t xml:space="preserve">Source appropriate venue in the event of a Home Office location not being available  </w:t>
      </w:r>
    </w:p>
    <w:p w14:paraId="57B86F2F" w14:textId="77777777" w:rsidR="007D1264" w:rsidRDefault="007D1264" w:rsidP="007D1264">
      <w:pPr>
        <w:numPr>
          <w:ilvl w:val="0"/>
          <w:numId w:val="11"/>
        </w:numPr>
        <w:spacing w:after="233" w:line="249" w:lineRule="auto"/>
        <w:ind w:right="713" w:hanging="360"/>
        <w:jc w:val="both"/>
      </w:pPr>
      <w:r>
        <w:t xml:space="preserve">Provide trained assessors as necessary. Assessors must score in line with Home Office requirements, and their output will be assured by Home Office staff.   </w:t>
      </w:r>
    </w:p>
    <w:p w14:paraId="598E48FF" w14:textId="77777777" w:rsidR="007D1264" w:rsidRDefault="007D1264" w:rsidP="007D1264">
      <w:pPr>
        <w:numPr>
          <w:ilvl w:val="0"/>
          <w:numId w:val="11"/>
        </w:numPr>
        <w:spacing w:after="233" w:line="249" w:lineRule="auto"/>
        <w:ind w:right="713" w:hanging="360"/>
        <w:jc w:val="both"/>
      </w:pPr>
      <w:r>
        <w:t xml:space="preserve">Provide access to online video interview platforms as necessary </w:t>
      </w:r>
    </w:p>
    <w:p w14:paraId="42934032" w14:textId="77777777" w:rsidR="007D1264" w:rsidRDefault="007D1264" w:rsidP="007D1264">
      <w:pPr>
        <w:numPr>
          <w:ilvl w:val="0"/>
          <w:numId w:val="11"/>
        </w:numPr>
        <w:spacing w:after="233" w:line="249" w:lineRule="auto"/>
        <w:ind w:right="713" w:hanging="360"/>
        <w:jc w:val="both"/>
      </w:pPr>
      <w:r>
        <w:t xml:space="preserve">Provide administrative support to the event as necessary   </w:t>
      </w:r>
    </w:p>
    <w:p w14:paraId="261284AC" w14:textId="77777777" w:rsidR="007D1264" w:rsidRDefault="007D1264" w:rsidP="007D1264">
      <w:pPr>
        <w:numPr>
          <w:ilvl w:val="0"/>
          <w:numId w:val="11"/>
        </w:numPr>
        <w:spacing w:after="233" w:line="249" w:lineRule="auto"/>
        <w:ind w:right="713" w:hanging="360"/>
        <w:jc w:val="both"/>
      </w:pPr>
      <w:r>
        <w:t xml:space="preserve">Ensure candidates provide appropriate documentation as advised by the Home Office </w:t>
      </w:r>
    </w:p>
    <w:p w14:paraId="2F789167" w14:textId="77777777" w:rsidR="007D1264" w:rsidRDefault="007D1264">
      <w:pPr>
        <w:ind w:left="2223" w:right="713"/>
      </w:pPr>
      <w:r>
        <w:t xml:space="preserve">5.8.2 Ensure that all assessments and tests are assured by an Occupational Psychologist before being used on recruitment campaigns to ensure marginalised groups are protected. </w:t>
      </w:r>
    </w:p>
    <w:p w14:paraId="3F6EEADE" w14:textId="77777777" w:rsidR="007D1264" w:rsidRDefault="007D1264">
      <w:pPr>
        <w:ind w:left="2223" w:right="713"/>
      </w:pPr>
      <w:r>
        <w:t xml:space="preserve">5.8.3 The Provider must support assessors with training and design the assessment training. </w:t>
      </w:r>
    </w:p>
    <w:p w14:paraId="1D35274F" w14:textId="77777777" w:rsidR="007D1264" w:rsidRDefault="007D1264">
      <w:pPr>
        <w:spacing w:after="257" w:line="259" w:lineRule="auto"/>
        <w:ind w:left="12"/>
      </w:pPr>
      <w:r>
        <w:t xml:space="preserve"> </w:t>
      </w:r>
    </w:p>
    <w:p w14:paraId="1B31C151" w14:textId="77777777" w:rsidR="007D1264" w:rsidRDefault="007D1264">
      <w:pPr>
        <w:pStyle w:val="Heading2"/>
        <w:tabs>
          <w:tab w:val="center" w:pos="1314"/>
          <w:tab w:val="center" w:pos="4278"/>
        </w:tabs>
      </w:pPr>
      <w:r>
        <w:rPr>
          <w:rFonts w:ascii="Calibri" w:eastAsia="Calibri" w:hAnsi="Calibri" w:cs="Calibri"/>
          <w:b w:val="0"/>
          <w:sz w:val="22"/>
        </w:rPr>
        <w:tab/>
      </w:r>
      <w:r>
        <w:rPr>
          <w:rFonts w:ascii="Arial" w:eastAsia="Arial" w:hAnsi="Arial" w:cs="Arial"/>
          <w:b w:val="0"/>
          <w:sz w:val="24"/>
        </w:rPr>
        <w:t xml:space="preserve">5.9 </w:t>
      </w:r>
      <w:r>
        <w:rPr>
          <w:rFonts w:ascii="Arial" w:eastAsia="Arial" w:hAnsi="Arial" w:cs="Arial"/>
          <w:b w:val="0"/>
          <w:sz w:val="24"/>
        </w:rPr>
        <w:tab/>
      </w:r>
      <w:r>
        <w:t xml:space="preserve">Occupational Psychologist Services </w:t>
      </w:r>
    </w:p>
    <w:p w14:paraId="5ED1FC11" w14:textId="77777777" w:rsidR="007D1264" w:rsidRDefault="007D1264">
      <w:pPr>
        <w:tabs>
          <w:tab w:val="center" w:pos="1414"/>
          <w:tab w:val="center" w:pos="5632"/>
        </w:tabs>
        <w:spacing w:after="10"/>
      </w:pPr>
      <w:r>
        <w:rPr>
          <w:rFonts w:cs="Calibri"/>
        </w:rPr>
        <w:tab/>
      </w:r>
      <w:r>
        <w:t xml:space="preserve">5.9.1 </w:t>
      </w:r>
      <w:r>
        <w:tab/>
        <w:t xml:space="preserve">Access to Occupational Psychologist services will be needed to </w:t>
      </w:r>
    </w:p>
    <w:p w14:paraId="38C0087E" w14:textId="77777777" w:rsidR="007D1264" w:rsidRDefault="007D1264">
      <w:pPr>
        <w:ind w:left="2228" w:right="713"/>
      </w:pPr>
      <w:r>
        <w:t xml:space="preserve">conduct diversity and inclusion analysis of campaign and recruitment data as required </w:t>
      </w:r>
    </w:p>
    <w:p w14:paraId="3A12AE54" w14:textId="77777777" w:rsidR="007D1264" w:rsidRDefault="007D1264">
      <w:pPr>
        <w:spacing w:after="270"/>
        <w:ind w:left="2223" w:right="713"/>
      </w:pPr>
      <w:r>
        <w:t xml:space="preserve">5.9.2 Access to Occupational Psychologists will be needed to assess and validate and contribute to the design of assessment tests and procedures used for recruitment purposes as required. </w:t>
      </w:r>
    </w:p>
    <w:p w14:paraId="79B69D36" w14:textId="77777777" w:rsidR="007D1264" w:rsidRDefault="007D1264">
      <w:pPr>
        <w:pStyle w:val="Heading2"/>
        <w:ind w:left="1142"/>
      </w:pPr>
      <w:r>
        <w:rPr>
          <w:rFonts w:ascii="Arial" w:eastAsia="Arial" w:hAnsi="Arial" w:cs="Arial"/>
          <w:b w:val="0"/>
          <w:sz w:val="24"/>
        </w:rPr>
        <w:t xml:space="preserve">5.10 </w:t>
      </w:r>
      <w:r>
        <w:t xml:space="preserve">Offer negotiation and confirmation of acceptance </w:t>
      </w:r>
    </w:p>
    <w:p w14:paraId="6DBA1281" w14:textId="77777777" w:rsidR="007D1264" w:rsidRDefault="007D1264">
      <w:pPr>
        <w:tabs>
          <w:tab w:val="center" w:pos="1481"/>
          <w:tab w:val="center" w:pos="3649"/>
        </w:tabs>
      </w:pPr>
      <w:r>
        <w:rPr>
          <w:rFonts w:cs="Calibri"/>
        </w:rPr>
        <w:tab/>
      </w:r>
      <w:r>
        <w:t xml:space="preserve">5.10.1 </w:t>
      </w:r>
      <w:r>
        <w:tab/>
        <w:t xml:space="preserve">Issue results to candidates   </w:t>
      </w:r>
    </w:p>
    <w:p w14:paraId="1664E2AA" w14:textId="77777777" w:rsidR="007D1264" w:rsidRDefault="007D1264">
      <w:pPr>
        <w:tabs>
          <w:tab w:val="center" w:pos="1481"/>
          <w:tab w:val="center" w:pos="4054"/>
        </w:tabs>
      </w:pPr>
      <w:r>
        <w:rPr>
          <w:rFonts w:cs="Calibri"/>
        </w:rPr>
        <w:tab/>
      </w:r>
      <w:r>
        <w:t xml:space="preserve">5.10.2 </w:t>
      </w:r>
      <w:r>
        <w:tab/>
        <w:t xml:space="preserve">Formulate merit order if necessary   </w:t>
      </w:r>
    </w:p>
    <w:p w14:paraId="37585AB7" w14:textId="77777777" w:rsidR="007D1264" w:rsidRDefault="007D1264">
      <w:pPr>
        <w:tabs>
          <w:tab w:val="center" w:pos="1481"/>
          <w:tab w:val="center" w:pos="5315"/>
        </w:tabs>
      </w:pPr>
      <w:r>
        <w:rPr>
          <w:rFonts w:cs="Calibri"/>
        </w:rPr>
        <w:tab/>
      </w:r>
      <w:r>
        <w:t xml:space="preserve">5.10.3 </w:t>
      </w:r>
      <w:r>
        <w:tab/>
        <w:t xml:space="preserve">Formulate and actively manage reserve list as appropriate </w:t>
      </w:r>
    </w:p>
    <w:p w14:paraId="539CF8D8" w14:textId="77777777" w:rsidR="007D1264" w:rsidRDefault="007D1264">
      <w:pPr>
        <w:ind w:left="2223" w:right="713"/>
      </w:pPr>
      <w:r>
        <w:t xml:space="preserve">5.10.4 Liaise with Home Office and candidates until an offer can be agreed and accepted   </w:t>
      </w:r>
    </w:p>
    <w:p w14:paraId="4803528E" w14:textId="77777777" w:rsidR="007D1264" w:rsidRDefault="007D1264">
      <w:pPr>
        <w:tabs>
          <w:tab w:val="center" w:pos="1481"/>
          <w:tab w:val="center" w:pos="5422"/>
        </w:tabs>
      </w:pPr>
      <w:r>
        <w:rPr>
          <w:rFonts w:cs="Calibri"/>
        </w:rPr>
        <w:tab/>
      </w:r>
      <w:r>
        <w:t xml:space="preserve">5.10.5 </w:t>
      </w:r>
      <w:r>
        <w:tab/>
        <w:t xml:space="preserve">Provide confirmation of any acceptance or rejection of offers   </w:t>
      </w:r>
    </w:p>
    <w:p w14:paraId="4282F47E" w14:textId="77777777" w:rsidR="007D1264" w:rsidRDefault="007D1264">
      <w:pPr>
        <w:ind w:left="2223" w:right="713"/>
      </w:pPr>
      <w:r>
        <w:t xml:space="preserve">5.10.6 Provide short (1-2 sentences) tailored candidate feedback as required; what the candidate did well, what they did not do well and what they could improve.   </w:t>
      </w:r>
    </w:p>
    <w:p w14:paraId="34EA569F" w14:textId="77777777" w:rsidR="007D1264" w:rsidRDefault="007D1264">
      <w:pPr>
        <w:tabs>
          <w:tab w:val="center" w:pos="1481"/>
          <w:tab w:val="center" w:pos="5634"/>
        </w:tabs>
        <w:spacing w:after="10"/>
      </w:pPr>
      <w:r>
        <w:rPr>
          <w:rFonts w:cs="Calibri"/>
        </w:rPr>
        <w:lastRenderedPageBreak/>
        <w:tab/>
      </w:r>
      <w:r>
        <w:t xml:space="preserve">5.10.7 </w:t>
      </w:r>
      <w:r>
        <w:tab/>
        <w:t xml:space="preserve">Conduct a candidate feedback survey if defined by the Home </w:t>
      </w:r>
    </w:p>
    <w:p w14:paraId="1D09EB3B" w14:textId="77777777" w:rsidR="007D1264" w:rsidRDefault="007D1264">
      <w:pPr>
        <w:ind w:left="2228" w:right="713"/>
      </w:pPr>
      <w:r>
        <w:t xml:space="preserve">Office  </w:t>
      </w:r>
    </w:p>
    <w:p w14:paraId="2091E544" w14:textId="77777777" w:rsidR="007D1264" w:rsidRDefault="007D1264">
      <w:pPr>
        <w:ind w:left="2223" w:right="713"/>
      </w:pPr>
      <w:r>
        <w:t xml:space="preserve">5.10.8 Provide Management Information as described in Section 7 to lead recruitment discussions including potential candidate pools and salary expectations (if applicable to the recruitment campaign). </w:t>
      </w:r>
    </w:p>
    <w:p w14:paraId="18152956" w14:textId="77777777" w:rsidR="007D1264" w:rsidRDefault="007D1264">
      <w:pPr>
        <w:spacing w:after="272"/>
        <w:ind w:left="2223" w:right="713"/>
      </w:pPr>
      <w:r>
        <w:t xml:space="preserve">5.10.9 Provide Management Information to support applications for higher starting salary (where applicable to the role). </w:t>
      </w:r>
    </w:p>
    <w:p w14:paraId="7EDF9497" w14:textId="77777777" w:rsidR="007D1264" w:rsidRDefault="007D1264">
      <w:pPr>
        <w:pStyle w:val="Heading2"/>
        <w:ind w:left="1142"/>
      </w:pPr>
      <w:r>
        <w:rPr>
          <w:rFonts w:ascii="Arial" w:eastAsia="Arial" w:hAnsi="Arial" w:cs="Arial"/>
          <w:b w:val="0"/>
          <w:sz w:val="24"/>
        </w:rPr>
        <w:t xml:space="preserve">5.11 </w:t>
      </w:r>
      <w:r>
        <w:t xml:space="preserve">Candidate onboarding </w:t>
      </w:r>
    </w:p>
    <w:p w14:paraId="62546894" w14:textId="77777777" w:rsidR="007D1264" w:rsidRDefault="007D1264">
      <w:pPr>
        <w:tabs>
          <w:tab w:val="center" w:pos="1481"/>
          <w:tab w:val="center" w:pos="5564"/>
        </w:tabs>
      </w:pPr>
      <w:r>
        <w:rPr>
          <w:rFonts w:cs="Calibri"/>
        </w:rPr>
        <w:tab/>
      </w:r>
      <w:r>
        <w:t xml:space="preserve">5.11.1 </w:t>
      </w:r>
      <w:r>
        <w:tab/>
        <w:t xml:space="preserve">Conduct candidate onboarding activities as required, including: </w:t>
      </w:r>
    </w:p>
    <w:p w14:paraId="5B3CDC31" w14:textId="77777777" w:rsidR="007D1264" w:rsidRDefault="007D1264" w:rsidP="007D1264">
      <w:pPr>
        <w:numPr>
          <w:ilvl w:val="0"/>
          <w:numId w:val="12"/>
        </w:numPr>
        <w:spacing w:after="233" w:line="249" w:lineRule="auto"/>
        <w:ind w:right="713" w:hanging="360"/>
        <w:jc w:val="both"/>
      </w:pPr>
      <w:r>
        <w:t xml:space="preserve">ID Verification – Checking candidates’ ID uploaded onto system, progressing where satisfactory or pushing back requesting further ID. Informing VHs where F2F ID checks need to be carried out, uploading upon return. Downloading and sending VHs copies of ID uploaded in readiness for the business to carry out first day checks. </w:t>
      </w:r>
    </w:p>
    <w:p w14:paraId="48D82941" w14:textId="77777777" w:rsidR="007D1264" w:rsidRDefault="007D1264" w:rsidP="007D1264">
      <w:pPr>
        <w:numPr>
          <w:ilvl w:val="0"/>
          <w:numId w:val="12"/>
        </w:numPr>
        <w:spacing w:after="233" w:line="249" w:lineRule="auto"/>
        <w:ind w:right="713" w:hanging="360"/>
        <w:jc w:val="both"/>
      </w:pPr>
      <w:r>
        <w:t xml:space="preserve">Internal/OGD checks – e-mailing candidates to provide answers to set of questions, upon return e-mail line manager to confirm. Carrying out actions for OGD candidates’ pay calculation and sending to Home Office payroll provider. Updating trackers and internal systems. </w:t>
      </w:r>
    </w:p>
    <w:p w14:paraId="27B37A35" w14:textId="77777777" w:rsidR="007D1264" w:rsidRDefault="007D1264" w:rsidP="007D1264">
      <w:pPr>
        <w:numPr>
          <w:ilvl w:val="0"/>
          <w:numId w:val="12"/>
        </w:numPr>
        <w:spacing w:after="233" w:line="249" w:lineRule="auto"/>
        <w:ind w:right="713" w:hanging="360"/>
        <w:jc w:val="both"/>
      </w:pPr>
      <w:r>
        <w:t xml:space="preserve">Sending out NEN proformas – Sending NEN proformas out to VHs. Downloading/attaching relevant templates/details. Updating trackers and internal systems. </w:t>
      </w:r>
    </w:p>
    <w:p w14:paraId="2B6403B2" w14:textId="77777777" w:rsidR="007D1264" w:rsidRDefault="007D1264" w:rsidP="007D1264">
      <w:pPr>
        <w:numPr>
          <w:ilvl w:val="0"/>
          <w:numId w:val="12"/>
        </w:numPr>
        <w:spacing w:after="233" w:line="249" w:lineRule="auto"/>
        <w:ind w:right="713" w:hanging="360"/>
        <w:jc w:val="both"/>
      </w:pPr>
      <w:r>
        <w:t xml:space="preserve">Uploading NENs – Uploading NEN details to system upon them being returned by VHs. Updating trackers and internal systems. </w:t>
      </w:r>
    </w:p>
    <w:p w14:paraId="36EE7F3C" w14:textId="77777777" w:rsidR="007D1264" w:rsidRDefault="007D1264" w:rsidP="007D1264">
      <w:pPr>
        <w:numPr>
          <w:ilvl w:val="0"/>
          <w:numId w:val="12"/>
        </w:numPr>
        <w:spacing w:after="233" w:line="249" w:lineRule="auto"/>
        <w:ind w:right="713" w:hanging="360"/>
        <w:jc w:val="both"/>
      </w:pPr>
      <w:r>
        <w:t xml:space="preserve">Sending our progress notifications and SR numbers to VHs – templated e-mails to be tailored based on candidate and sent to VHs. Updating trackers and internal systems. </w:t>
      </w:r>
    </w:p>
    <w:p w14:paraId="7693E3C8" w14:textId="77777777" w:rsidR="007D1264" w:rsidRDefault="007D1264" w:rsidP="007D1264">
      <w:pPr>
        <w:numPr>
          <w:ilvl w:val="0"/>
          <w:numId w:val="12"/>
        </w:numPr>
        <w:spacing w:after="233" w:line="249" w:lineRule="auto"/>
        <w:ind w:right="713" w:hanging="360"/>
        <w:jc w:val="both"/>
      </w:pPr>
      <w:r>
        <w:t xml:space="preserve">Candidate engagement – Contact candidate via calls to chase for progression to be made across various stages of the onboarding process, including keeping candidates informed and engaged during the security clearance process. </w:t>
      </w:r>
    </w:p>
    <w:p w14:paraId="22965855" w14:textId="525C7F0F" w:rsidR="007D1264" w:rsidRDefault="007D1264">
      <w:pPr>
        <w:ind w:left="2223" w:right="713"/>
      </w:pPr>
      <w:r>
        <w:t xml:space="preserve">5.11.2 Develop and implement diverse range of engagement strategies across multiple channels that maintain communication with candidates and reduce current attrition rates experienced at this stage </w:t>
      </w:r>
      <w:r w:rsidR="00C46DA1">
        <w:rPr>
          <w:rFonts w:ascii="Arial" w:hAnsi="Arial" w:cs="Arial"/>
          <w:b/>
          <w:bCs/>
          <w:color w:val="FF0000"/>
        </w:rPr>
        <w:t>REDACTED TEXT under FOIA Section 43 Commercial Interests</w:t>
      </w:r>
      <w:r w:rsidR="00C46DA1">
        <w:rPr>
          <w:rFonts w:ascii="Arial" w:hAnsi="Arial" w:cs="Arial"/>
          <w:color w:val="FF0000"/>
        </w:rPr>
        <w:t>.</w:t>
      </w:r>
    </w:p>
    <w:p w14:paraId="7CC78546" w14:textId="77777777" w:rsidR="007D1264" w:rsidRDefault="007D1264">
      <w:pPr>
        <w:ind w:left="2223" w:right="713"/>
      </w:pPr>
      <w:r>
        <w:t xml:space="preserve">5.11.3 Conduct digital Right to Work checks through an accredited IDVT provider (if the Provider does not have this accreditation </w:t>
      </w:r>
      <w:r>
        <w:lastRenderedPageBreak/>
        <w:t xml:space="preserve">themselves). These checks must be integrated within the Provider’s ATS, and the Home Office would need to understand the end-to-end IDVT process including roles and responsibilities between the Home Office and the Provider. </w:t>
      </w:r>
    </w:p>
    <w:p w14:paraId="0D50CAD0" w14:textId="77777777" w:rsidR="007D1264" w:rsidRDefault="007D1264">
      <w:pPr>
        <w:spacing w:after="234" w:line="245" w:lineRule="auto"/>
        <w:ind w:left="2223" w:right="313"/>
      </w:pPr>
      <w:r>
        <w:t xml:space="preserve">5.11.4 </w:t>
      </w:r>
      <w:r>
        <w:tab/>
        <w:t xml:space="preserve">An enhanced online engagement activity for candidate onboarding (i.e., a vehicle for supporting candidates through onboarding, providing them with advice on how to complete the different onboarding activities including security and preemployment checks, readiness to start etc.). </w:t>
      </w:r>
    </w:p>
    <w:p w14:paraId="6F81551E" w14:textId="77777777" w:rsidR="007D1264" w:rsidRDefault="007D1264">
      <w:pPr>
        <w:spacing w:after="272"/>
        <w:ind w:left="2223" w:right="713"/>
      </w:pPr>
      <w:r>
        <w:t xml:space="preserve">5.11.5 These activities may include completion of new entrant process in consultation with HORC and passing the required forms to relevant third parties as required. </w:t>
      </w:r>
    </w:p>
    <w:p w14:paraId="4FAB4BA5" w14:textId="77777777" w:rsidR="007D1264" w:rsidRDefault="007D1264">
      <w:pPr>
        <w:pStyle w:val="Heading2"/>
        <w:ind w:left="1142"/>
      </w:pPr>
      <w:r>
        <w:rPr>
          <w:rFonts w:ascii="Arial" w:eastAsia="Arial" w:hAnsi="Arial" w:cs="Arial"/>
          <w:b w:val="0"/>
          <w:sz w:val="24"/>
        </w:rPr>
        <w:t xml:space="preserve">5.12 </w:t>
      </w:r>
      <w:r>
        <w:t xml:space="preserve">Post campaign actions </w:t>
      </w:r>
    </w:p>
    <w:p w14:paraId="7981DA92" w14:textId="77777777" w:rsidR="007D1264" w:rsidRDefault="007D1264">
      <w:pPr>
        <w:ind w:left="2223" w:right="713"/>
      </w:pPr>
      <w:r>
        <w:t xml:space="preserve">5.12.1 Produce a mandatory post campaign summary, cost neutral document covering the project summary, media strategy with high level response rates, cost summary, high level results and summary of lessons learned within 5 working days of end of campaign.  </w:t>
      </w:r>
    </w:p>
    <w:p w14:paraId="05AB06E2" w14:textId="77777777" w:rsidR="007D1264" w:rsidRDefault="007D1264">
      <w:pPr>
        <w:ind w:left="2223" w:right="713"/>
      </w:pPr>
      <w:r>
        <w:t xml:space="preserve">5.12.2 Produce a full post campaign report if requested within 12 working days of end of campaign to cover as a minimum:   </w:t>
      </w:r>
    </w:p>
    <w:p w14:paraId="0D33B8B0" w14:textId="77777777" w:rsidR="007D1264" w:rsidRDefault="007D1264" w:rsidP="007D1264">
      <w:pPr>
        <w:numPr>
          <w:ilvl w:val="0"/>
          <w:numId w:val="13"/>
        </w:numPr>
        <w:spacing w:after="10" w:line="249" w:lineRule="auto"/>
        <w:ind w:right="713"/>
        <w:jc w:val="both"/>
      </w:pPr>
      <w:r>
        <w:t xml:space="preserve">Account team details   </w:t>
      </w:r>
    </w:p>
    <w:p w14:paraId="1440EE57" w14:textId="77777777" w:rsidR="007D1264" w:rsidRDefault="007D1264" w:rsidP="007D1264">
      <w:pPr>
        <w:numPr>
          <w:ilvl w:val="0"/>
          <w:numId w:val="13"/>
        </w:numPr>
        <w:spacing w:after="10" w:line="249" w:lineRule="auto"/>
        <w:ind w:right="713"/>
        <w:jc w:val="both"/>
      </w:pPr>
      <w:r>
        <w:t xml:space="preserve">Project summary   </w:t>
      </w:r>
    </w:p>
    <w:p w14:paraId="1A042E23" w14:textId="77777777" w:rsidR="007D1264" w:rsidRDefault="007D1264" w:rsidP="007D1264">
      <w:pPr>
        <w:numPr>
          <w:ilvl w:val="0"/>
          <w:numId w:val="13"/>
        </w:numPr>
        <w:spacing w:after="10" w:line="249" w:lineRule="auto"/>
        <w:ind w:right="713"/>
        <w:jc w:val="both"/>
      </w:pPr>
      <w:r>
        <w:t xml:space="preserve">Media strategy and response rates   </w:t>
      </w:r>
    </w:p>
    <w:p w14:paraId="2D6AC6D6" w14:textId="77777777" w:rsidR="007D1264" w:rsidRDefault="007D1264" w:rsidP="007D1264">
      <w:pPr>
        <w:numPr>
          <w:ilvl w:val="0"/>
          <w:numId w:val="13"/>
        </w:numPr>
        <w:spacing w:after="10" w:line="249" w:lineRule="auto"/>
        <w:ind w:right="713"/>
        <w:jc w:val="both"/>
      </w:pPr>
      <w:r>
        <w:t xml:space="preserve">Final advert  </w:t>
      </w:r>
    </w:p>
    <w:p w14:paraId="745ADC93" w14:textId="77777777" w:rsidR="007D1264" w:rsidRDefault="007D1264" w:rsidP="007D1264">
      <w:pPr>
        <w:numPr>
          <w:ilvl w:val="0"/>
          <w:numId w:val="13"/>
        </w:numPr>
        <w:spacing w:after="10" w:line="249" w:lineRule="auto"/>
        <w:ind w:right="713"/>
        <w:jc w:val="both"/>
      </w:pPr>
      <w:r>
        <w:t xml:space="preserve">Process   </w:t>
      </w:r>
    </w:p>
    <w:p w14:paraId="5CCCF5A0" w14:textId="77777777" w:rsidR="007D1264" w:rsidRDefault="007D1264" w:rsidP="007D1264">
      <w:pPr>
        <w:numPr>
          <w:ilvl w:val="0"/>
          <w:numId w:val="13"/>
        </w:numPr>
        <w:spacing w:after="10" w:line="249" w:lineRule="auto"/>
        <w:ind w:right="713"/>
        <w:jc w:val="both"/>
      </w:pPr>
      <w:r>
        <w:t xml:space="preserve">Timelines   </w:t>
      </w:r>
    </w:p>
    <w:p w14:paraId="3DF7EFA4" w14:textId="77777777" w:rsidR="007D1264" w:rsidRDefault="007D1264" w:rsidP="007D1264">
      <w:pPr>
        <w:numPr>
          <w:ilvl w:val="0"/>
          <w:numId w:val="13"/>
        </w:numPr>
        <w:spacing w:after="10" w:line="249" w:lineRule="auto"/>
        <w:ind w:right="713"/>
        <w:jc w:val="both"/>
      </w:pPr>
      <w:r>
        <w:t xml:space="preserve">DCS and redeployment scheme criteria   </w:t>
      </w:r>
    </w:p>
    <w:p w14:paraId="6BB12B5C" w14:textId="77777777" w:rsidR="007D1264" w:rsidRDefault="007D1264" w:rsidP="007D1264">
      <w:pPr>
        <w:numPr>
          <w:ilvl w:val="0"/>
          <w:numId w:val="13"/>
        </w:numPr>
        <w:spacing w:after="10" w:line="249" w:lineRule="auto"/>
        <w:ind w:right="713"/>
        <w:jc w:val="both"/>
      </w:pPr>
      <w:r>
        <w:t xml:space="preserve">Sifting/interviewing criteria   </w:t>
      </w:r>
    </w:p>
    <w:p w14:paraId="06D95EE3" w14:textId="77777777" w:rsidR="007D1264" w:rsidRDefault="007D1264" w:rsidP="007D1264">
      <w:pPr>
        <w:numPr>
          <w:ilvl w:val="0"/>
          <w:numId w:val="13"/>
        </w:numPr>
        <w:spacing w:after="10" w:line="249" w:lineRule="auto"/>
        <w:ind w:right="713"/>
        <w:jc w:val="both"/>
      </w:pPr>
      <w:r>
        <w:t xml:space="preserve">Final results   </w:t>
      </w:r>
    </w:p>
    <w:p w14:paraId="5C19E4AF" w14:textId="77777777" w:rsidR="007D1264" w:rsidRDefault="007D1264" w:rsidP="007D1264">
      <w:pPr>
        <w:numPr>
          <w:ilvl w:val="0"/>
          <w:numId w:val="13"/>
        </w:numPr>
        <w:spacing w:after="10" w:line="249" w:lineRule="auto"/>
        <w:ind w:right="713"/>
        <w:jc w:val="both"/>
      </w:pPr>
      <w:r>
        <w:t xml:space="preserve">Costs including any discounts   </w:t>
      </w:r>
    </w:p>
    <w:p w14:paraId="6866EC95" w14:textId="77777777" w:rsidR="007D1264" w:rsidRDefault="007D1264" w:rsidP="007D1264">
      <w:pPr>
        <w:numPr>
          <w:ilvl w:val="0"/>
          <w:numId w:val="13"/>
        </w:numPr>
        <w:spacing w:after="10" w:line="249" w:lineRule="auto"/>
        <w:ind w:right="713"/>
        <w:jc w:val="both"/>
      </w:pPr>
      <w:r>
        <w:t xml:space="preserve">Conclusions   </w:t>
      </w:r>
    </w:p>
    <w:p w14:paraId="4F8EF641" w14:textId="77777777" w:rsidR="007D1264" w:rsidRDefault="007D1264" w:rsidP="007D1264">
      <w:pPr>
        <w:numPr>
          <w:ilvl w:val="0"/>
          <w:numId w:val="13"/>
        </w:numPr>
        <w:spacing w:after="0" w:line="249" w:lineRule="auto"/>
        <w:ind w:right="713"/>
        <w:jc w:val="both"/>
      </w:pPr>
      <w:r>
        <w:t xml:space="preserve">Lessons learned, including insightful campaign analysis, to be discussed and agreed between the Provider and </w:t>
      </w:r>
      <w:proofErr w:type="gramStart"/>
      <w:r>
        <w:t>HORC  (</w:t>
      </w:r>
      <w:proofErr w:type="gramEnd"/>
      <w:r>
        <w:t xml:space="preserve">m) Annex – Full campaign and candidate history statistics   </w:t>
      </w:r>
    </w:p>
    <w:p w14:paraId="3A8A0B8F" w14:textId="77777777" w:rsidR="007D1264" w:rsidRDefault="007D1264" w:rsidP="007D1264">
      <w:pPr>
        <w:numPr>
          <w:ilvl w:val="0"/>
          <w:numId w:val="14"/>
        </w:numPr>
        <w:spacing w:after="10" w:line="249" w:lineRule="auto"/>
        <w:ind w:right="713" w:hanging="360"/>
        <w:jc w:val="both"/>
      </w:pPr>
      <w:r>
        <w:t xml:space="preserve">Diversity statistics, online/offline where required   </w:t>
      </w:r>
    </w:p>
    <w:p w14:paraId="5CEA2EA9" w14:textId="77777777" w:rsidR="007D1264" w:rsidRDefault="007D1264" w:rsidP="007D1264">
      <w:pPr>
        <w:numPr>
          <w:ilvl w:val="0"/>
          <w:numId w:val="14"/>
        </w:numPr>
        <w:spacing w:after="10" w:line="249" w:lineRule="auto"/>
        <w:ind w:right="713" w:hanging="360"/>
        <w:jc w:val="both"/>
      </w:pPr>
      <w:r>
        <w:t xml:space="preserve">Candidate feedback   </w:t>
      </w:r>
    </w:p>
    <w:p w14:paraId="1F0CEEB3" w14:textId="77777777" w:rsidR="007D1264" w:rsidRDefault="007D1264">
      <w:pPr>
        <w:spacing w:after="17" w:line="259" w:lineRule="auto"/>
        <w:ind w:left="2533"/>
      </w:pPr>
      <w:r>
        <w:t xml:space="preserve"> </w:t>
      </w:r>
    </w:p>
    <w:p w14:paraId="4E2E12AE" w14:textId="77777777" w:rsidR="007D1264" w:rsidRDefault="007D1264">
      <w:pPr>
        <w:pStyle w:val="Heading2"/>
        <w:ind w:left="1142"/>
      </w:pPr>
      <w:r>
        <w:rPr>
          <w:rFonts w:ascii="Arial" w:eastAsia="Arial" w:hAnsi="Arial" w:cs="Arial"/>
          <w:b w:val="0"/>
          <w:sz w:val="24"/>
        </w:rPr>
        <w:t xml:space="preserve">5.13 </w:t>
      </w:r>
      <w:r>
        <w:t xml:space="preserve">Candidate and reserve list ownership   </w:t>
      </w:r>
    </w:p>
    <w:p w14:paraId="588F8C41" w14:textId="77777777" w:rsidR="007D1264" w:rsidRDefault="007D1264">
      <w:pPr>
        <w:spacing w:after="0"/>
        <w:ind w:left="578" w:right="713"/>
      </w:pPr>
      <w:r>
        <w:t xml:space="preserve">Merit and Reserve lists, although maintained by the Provider, will be owned by the Home Office. </w:t>
      </w:r>
    </w:p>
    <w:p w14:paraId="16047ACC" w14:textId="77777777" w:rsidR="007D1264" w:rsidRDefault="007D1264">
      <w:pPr>
        <w:spacing w:after="0" w:line="259" w:lineRule="auto"/>
        <w:ind w:left="372"/>
      </w:pPr>
      <w:r>
        <w:t xml:space="preserve"> </w:t>
      </w:r>
    </w:p>
    <w:p w14:paraId="44E7AE23" w14:textId="77777777" w:rsidR="007D1264" w:rsidRDefault="007D1264">
      <w:pPr>
        <w:spacing w:after="0" w:line="259" w:lineRule="auto"/>
        <w:ind w:left="372"/>
      </w:pPr>
      <w:r>
        <w:lastRenderedPageBreak/>
        <w:t xml:space="preserve"> </w:t>
      </w:r>
    </w:p>
    <w:p w14:paraId="0710603E" w14:textId="77777777" w:rsidR="007D1264" w:rsidRDefault="007D1264">
      <w:pPr>
        <w:spacing w:after="22" w:line="259" w:lineRule="auto"/>
        <w:ind w:left="578"/>
      </w:pPr>
      <w:r>
        <w:t xml:space="preserve"> </w:t>
      </w:r>
    </w:p>
    <w:p w14:paraId="1A48D0BD" w14:textId="77777777" w:rsidR="007D1264" w:rsidRDefault="007D1264">
      <w:pPr>
        <w:pStyle w:val="Heading2"/>
        <w:spacing w:after="70"/>
        <w:ind w:left="22"/>
      </w:pPr>
      <w:r>
        <w:rPr>
          <w:rFonts w:ascii="Arial" w:eastAsia="Arial" w:hAnsi="Arial" w:cs="Arial"/>
          <w:b w:val="0"/>
          <w:sz w:val="24"/>
        </w:rPr>
        <w:t xml:space="preserve">5.14 </w:t>
      </w:r>
      <w:r>
        <w:t xml:space="preserve">Surge Support </w:t>
      </w:r>
    </w:p>
    <w:p w14:paraId="767CAE8F" w14:textId="77777777" w:rsidR="007D1264" w:rsidRDefault="007D1264">
      <w:pPr>
        <w:ind w:left="2223" w:right="713"/>
      </w:pPr>
      <w:r>
        <w:t xml:space="preserve">5.14.1 Provide administrative support as required by the Home Office for data inputting onto relevant IT systems and completion of recruitment and new starter forms as required. </w:t>
      </w:r>
    </w:p>
    <w:p w14:paraId="2841A43A" w14:textId="77777777" w:rsidR="007D1264" w:rsidRDefault="007D1264">
      <w:pPr>
        <w:spacing w:after="234" w:line="245" w:lineRule="auto"/>
        <w:ind w:left="2223" w:right="313"/>
      </w:pPr>
      <w:r>
        <w:t xml:space="preserve">5.14.2 </w:t>
      </w:r>
      <w:r>
        <w:tab/>
        <w:t xml:space="preserve">Where required to provide additional customer service support to engage candidates through regular contact during the recruitment process, to help address issues and queries from candidates relating to the recruitment process, forms to be completed and the role being recruited. </w:t>
      </w:r>
    </w:p>
    <w:p w14:paraId="79461DB5" w14:textId="77777777" w:rsidR="007D1264" w:rsidRDefault="007D1264">
      <w:pPr>
        <w:spacing w:after="272"/>
        <w:ind w:left="2223" w:right="713"/>
      </w:pPr>
      <w:r>
        <w:t xml:space="preserve">5.14.3 Surge support staff called off via this contract will be trained on HORC policies and processes by HORC staff. </w:t>
      </w:r>
    </w:p>
    <w:p w14:paraId="11EEA464" w14:textId="77777777" w:rsidR="007D1264" w:rsidRDefault="007D1264">
      <w:pPr>
        <w:pStyle w:val="Heading2"/>
        <w:ind w:left="10"/>
      </w:pPr>
      <w:r>
        <w:rPr>
          <w:rFonts w:ascii="Arial" w:eastAsia="Arial" w:hAnsi="Arial" w:cs="Arial"/>
          <w:b w:val="0"/>
          <w:sz w:val="24"/>
        </w:rPr>
        <w:t xml:space="preserve">5.15 </w:t>
      </w:r>
      <w:r>
        <w:t xml:space="preserve">Correspondence Handling </w:t>
      </w:r>
    </w:p>
    <w:p w14:paraId="0B2538B8" w14:textId="77777777" w:rsidR="007D1264" w:rsidRDefault="007D1264">
      <w:pPr>
        <w:ind w:left="2223" w:right="713"/>
      </w:pPr>
      <w:r>
        <w:t xml:space="preserve">5.15.1 The Provider must manage all complaints relating to the recruitment process within the specified KPI, escalating as appropriate to HORC for responses. </w:t>
      </w:r>
    </w:p>
    <w:p w14:paraId="2DFD9AA6" w14:textId="77777777" w:rsidR="007D1264" w:rsidRDefault="007D1264">
      <w:pPr>
        <w:ind w:left="2223" w:right="713"/>
      </w:pPr>
      <w:r>
        <w:t xml:space="preserve">5.15.2 The Provider must ensure that Candidate Satisfaction Surveys are issued to all candidates throughout the recruitment process. </w:t>
      </w:r>
    </w:p>
    <w:p w14:paraId="7522A7CC" w14:textId="77777777" w:rsidR="007D1264" w:rsidRDefault="007D1264">
      <w:pPr>
        <w:ind w:left="2223" w:right="713"/>
      </w:pPr>
      <w:r>
        <w:t xml:space="preserve">5.15.3 </w:t>
      </w:r>
      <w:r>
        <w:tab/>
        <w:t xml:space="preserve">The Provider must accurately Recruitment System Queries from Nominated HR Users within the specified KPI. </w:t>
      </w:r>
    </w:p>
    <w:p w14:paraId="4D8C209D" w14:textId="77777777" w:rsidR="007D1264" w:rsidRDefault="007D1264">
      <w:pPr>
        <w:ind w:left="2223" w:right="713"/>
      </w:pPr>
      <w:r>
        <w:t xml:space="preserve">5.15.4 The Provider must provide an Initial Acknowledgement to All Requests regarding Parliamentary Questions, Staff Subject Access Requests and FOI requests within the specified KPI. </w:t>
      </w:r>
    </w:p>
    <w:p w14:paraId="13CC0945" w14:textId="77777777" w:rsidR="007D1264" w:rsidRDefault="007D1264">
      <w:pPr>
        <w:ind w:left="2223" w:right="713"/>
      </w:pPr>
      <w:r>
        <w:t xml:space="preserve">5.15.5 The Provider must provide the requested data regarding Parliamentary Questions, Staff Subject Access Requests and FOI requests within the specified KPI. </w:t>
      </w:r>
    </w:p>
    <w:p w14:paraId="158C5491" w14:textId="77777777" w:rsidR="007D1264" w:rsidRDefault="007D1264">
      <w:pPr>
        <w:spacing w:after="211"/>
        <w:ind w:left="2223" w:right="713"/>
      </w:pPr>
      <w:r>
        <w:t xml:space="preserve">5.15.6 </w:t>
      </w:r>
      <w:r>
        <w:tab/>
        <w:t xml:space="preserve">Handle FOI and DPA requests in line with legislative requirements  </w:t>
      </w:r>
    </w:p>
    <w:p w14:paraId="4394F081" w14:textId="77777777" w:rsidR="007D1264" w:rsidRDefault="007D1264">
      <w:pPr>
        <w:spacing w:after="311" w:line="259" w:lineRule="auto"/>
        <w:ind w:left="12"/>
      </w:pPr>
      <w:r>
        <w:t xml:space="preserve"> </w:t>
      </w:r>
    </w:p>
    <w:p w14:paraId="43DB56AF" w14:textId="77777777" w:rsidR="007D1264" w:rsidRDefault="007D1264">
      <w:pPr>
        <w:pStyle w:val="Heading1"/>
        <w:tabs>
          <w:tab w:val="center" w:pos="3814"/>
        </w:tabs>
        <w:ind w:left="-3"/>
      </w:pPr>
      <w:bookmarkStart w:id="6" w:name="_Toc43533"/>
      <w:r>
        <w:t xml:space="preserve">6. </w:t>
      </w:r>
      <w:r>
        <w:tab/>
        <w:t xml:space="preserve">KEY MILESTONES AND DELIVERABLES </w:t>
      </w:r>
      <w:bookmarkEnd w:id="6"/>
    </w:p>
    <w:p w14:paraId="50995EE6" w14:textId="77777777" w:rsidR="007D1264" w:rsidRDefault="007D1264">
      <w:pPr>
        <w:spacing w:after="0"/>
        <w:ind w:left="1852" w:right="713" w:hanging="720"/>
      </w:pPr>
      <w:r>
        <w:t xml:space="preserve">6.1 The Key Deliverables and Milestones for each Campaign will be scoped out and specified within individual Statement of Works post Contract </w:t>
      </w:r>
      <w:r>
        <w:lastRenderedPageBreak/>
        <w:t xml:space="preserve">Commencement. For Implementation, the Provider must meet the following milestone that the Authority will measure delivery against: </w:t>
      </w:r>
    </w:p>
    <w:tbl>
      <w:tblPr>
        <w:tblStyle w:val="TableGrid0"/>
        <w:tblW w:w="9018" w:type="dxa"/>
        <w:tblInd w:w="18" w:type="dxa"/>
        <w:tblCellMar>
          <w:top w:w="12" w:type="dxa"/>
          <w:left w:w="108" w:type="dxa"/>
          <w:right w:w="111" w:type="dxa"/>
        </w:tblCellMar>
        <w:tblLook w:val="04A0" w:firstRow="1" w:lastRow="0" w:firstColumn="1" w:lastColumn="0" w:noHBand="0" w:noVBand="1"/>
      </w:tblPr>
      <w:tblGrid>
        <w:gridCol w:w="1619"/>
        <w:gridCol w:w="4474"/>
        <w:gridCol w:w="2925"/>
      </w:tblGrid>
      <w:tr w:rsidR="007D1264" w14:paraId="1898DAA9" w14:textId="77777777">
        <w:trPr>
          <w:trHeight w:val="403"/>
        </w:trPr>
        <w:tc>
          <w:tcPr>
            <w:tcW w:w="1619" w:type="dxa"/>
            <w:tcBorders>
              <w:top w:val="single" w:sz="4" w:space="0" w:color="000000"/>
              <w:left w:val="single" w:sz="4" w:space="0" w:color="000000"/>
              <w:bottom w:val="single" w:sz="4" w:space="0" w:color="000000"/>
              <w:right w:val="single" w:sz="4" w:space="0" w:color="000000"/>
            </w:tcBorders>
            <w:shd w:val="clear" w:color="auto" w:fill="C6D9F1"/>
          </w:tcPr>
          <w:p w14:paraId="26DA89E7" w14:textId="77777777" w:rsidR="007D1264" w:rsidRDefault="007D1264">
            <w:pPr>
              <w:spacing w:line="259" w:lineRule="auto"/>
              <w:ind w:left="3"/>
              <w:jc w:val="center"/>
            </w:pPr>
            <w:r>
              <w:rPr>
                <w:rFonts w:ascii="Arial" w:eastAsia="Arial" w:hAnsi="Arial" w:cs="Arial"/>
                <w:b/>
              </w:rPr>
              <w:t xml:space="preserve">Milestone </w:t>
            </w:r>
          </w:p>
        </w:tc>
        <w:tc>
          <w:tcPr>
            <w:tcW w:w="4475" w:type="dxa"/>
            <w:tcBorders>
              <w:top w:val="single" w:sz="4" w:space="0" w:color="000000"/>
              <w:left w:val="single" w:sz="4" w:space="0" w:color="000000"/>
              <w:bottom w:val="single" w:sz="4" w:space="0" w:color="000000"/>
              <w:right w:val="single" w:sz="4" w:space="0" w:color="000000"/>
            </w:tcBorders>
            <w:shd w:val="clear" w:color="auto" w:fill="C6D9F1"/>
          </w:tcPr>
          <w:p w14:paraId="28E92F6C" w14:textId="77777777" w:rsidR="007D1264" w:rsidRDefault="007D1264">
            <w:pPr>
              <w:spacing w:line="259" w:lineRule="auto"/>
              <w:ind w:left="5"/>
              <w:jc w:val="center"/>
            </w:pPr>
            <w:r>
              <w:rPr>
                <w:rFonts w:ascii="Arial" w:eastAsia="Arial" w:hAnsi="Arial" w:cs="Arial"/>
                <w:b/>
              </w:rPr>
              <w:t xml:space="preserve">Description </w:t>
            </w:r>
          </w:p>
        </w:tc>
        <w:tc>
          <w:tcPr>
            <w:tcW w:w="2925" w:type="dxa"/>
            <w:tcBorders>
              <w:top w:val="single" w:sz="4" w:space="0" w:color="000000"/>
              <w:left w:val="single" w:sz="4" w:space="0" w:color="000000"/>
              <w:bottom w:val="single" w:sz="4" w:space="0" w:color="000000"/>
              <w:right w:val="single" w:sz="4" w:space="0" w:color="000000"/>
            </w:tcBorders>
            <w:shd w:val="clear" w:color="auto" w:fill="C6D9F1"/>
          </w:tcPr>
          <w:p w14:paraId="14CD072C" w14:textId="77777777" w:rsidR="007D1264" w:rsidRDefault="007D1264">
            <w:pPr>
              <w:spacing w:line="259" w:lineRule="auto"/>
              <w:ind w:left="3"/>
              <w:jc w:val="center"/>
            </w:pPr>
            <w:r>
              <w:rPr>
                <w:rFonts w:ascii="Arial" w:eastAsia="Arial" w:hAnsi="Arial" w:cs="Arial"/>
                <w:b/>
              </w:rPr>
              <w:t xml:space="preserve">Timeframe </w:t>
            </w:r>
          </w:p>
        </w:tc>
      </w:tr>
      <w:tr w:rsidR="007D1264" w14:paraId="20D7E26C" w14:textId="77777777">
        <w:trPr>
          <w:trHeight w:val="4235"/>
        </w:trPr>
        <w:tc>
          <w:tcPr>
            <w:tcW w:w="1619" w:type="dxa"/>
            <w:tcBorders>
              <w:top w:val="single" w:sz="4" w:space="0" w:color="000000"/>
              <w:left w:val="single" w:sz="4" w:space="0" w:color="000000"/>
              <w:bottom w:val="single" w:sz="4" w:space="0" w:color="000000"/>
              <w:right w:val="single" w:sz="4" w:space="0" w:color="000000"/>
            </w:tcBorders>
          </w:tcPr>
          <w:p w14:paraId="3B09374C" w14:textId="77777777" w:rsidR="007D1264" w:rsidRDefault="007D1264">
            <w:pPr>
              <w:spacing w:line="259" w:lineRule="auto"/>
              <w:ind w:right="2"/>
              <w:jc w:val="center"/>
            </w:pPr>
            <w:r>
              <w:t xml:space="preserve">1 </w:t>
            </w:r>
          </w:p>
        </w:tc>
        <w:tc>
          <w:tcPr>
            <w:tcW w:w="4475" w:type="dxa"/>
            <w:tcBorders>
              <w:top w:val="single" w:sz="4" w:space="0" w:color="000000"/>
              <w:left w:val="single" w:sz="4" w:space="0" w:color="000000"/>
              <w:bottom w:val="single" w:sz="4" w:space="0" w:color="000000"/>
              <w:right w:val="single" w:sz="4" w:space="0" w:color="000000"/>
            </w:tcBorders>
          </w:tcPr>
          <w:p w14:paraId="6B9B3766" w14:textId="77777777" w:rsidR="007D1264" w:rsidRDefault="007D1264" w:rsidP="007D1264">
            <w:pPr>
              <w:numPr>
                <w:ilvl w:val="0"/>
                <w:numId w:val="19"/>
              </w:numPr>
              <w:spacing w:after="121"/>
              <w:ind w:hanging="361"/>
            </w:pPr>
            <w:r>
              <w:t xml:space="preserve">Provider to set up their ATS and configure it to the Home Office brand and requirements and integrate it with the current Home Office Careers website in terms of look and feel. </w:t>
            </w:r>
          </w:p>
          <w:p w14:paraId="3CA92743" w14:textId="77777777" w:rsidR="007D1264" w:rsidRDefault="007D1264">
            <w:pPr>
              <w:spacing w:after="98" w:line="259" w:lineRule="auto"/>
            </w:pPr>
            <w:r>
              <w:t xml:space="preserve"> </w:t>
            </w:r>
          </w:p>
          <w:p w14:paraId="4053FBB3" w14:textId="77777777" w:rsidR="007D1264" w:rsidRDefault="007D1264" w:rsidP="007D1264">
            <w:pPr>
              <w:numPr>
                <w:ilvl w:val="0"/>
                <w:numId w:val="19"/>
              </w:numPr>
              <w:spacing w:line="259" w:lineRule="auto"/>
              <w:ind w:hanging="361"/>
            </w:pPr>
            <w:r>
              <w:t xml:space="preserve">Provider to ensure business readiness for upcoming campaigns, including designing media strategies, selection and assessment processes and methodologies, campaign resources and agreeing campaign volumetrics. </w:t>
            </w:r>
          </w:p>
        </w:tc>
        <w:tc>
          <w:tcPr>
            <w:tcW w:w="2925" w:type="dxa"/>
            <w:tcBorders>
              <w:top w:val="single" w:sz="4" w:space="0" w:color="000000"/>
              <w:left w:val="single" w:sz="4" w:space="0" w:color="000000"/>
              <w:bottom w:val="single" w:sz="4" w:space="0" w:color="000000"/>
              <w:right w:val="single" w:sz="4" w:space="0" w:color="000000"/>
            </w:tcBorders>
          </w:tcPr>
          <w:p w14:paraId="70EBCB01" w14:textId="77777777" w:rsidR="007D1264" w:rsidRDefault="007D1264">
            <w:pPr>
              <w:spacing w:line="259" w:lineRule="auto"/>
              <w:jc w:val="center"/>
            </w:pPr>
            <w:r>
              <w:rPr>
                <w:color w:val="222222"/>
              </w:rPr>
              <w:t>To be completed before the first campaign launches.</w:t>
            </w:r>
            <w:r>
              <w:t xml:space="preserve"> </w:t>
            </w:r>
          </w:p>
        </w:tc>
      </w:tr>
    </w:tbl>
    <w:p w14:paraId="151602DB" w14:textId="77777777" w:rsidR="007D1264" w:rsidRDefault="007D1264">
      <w:pPr>
        <w:spacing w:after="172" w:line="259" w:lineRule="auto"/>
        <w:ind w:left="720"/>
      </w:pPr>
      <w:r>
        <w:t xml:space="preserve"> </w:t>
      </w:r>
    </w:p>
    <w:p w14:paraId="08785930" w14:textId="77777777" w:rsidR="007D1264" w:rsidRDefault="007D1264">
      <w:pPr>
        <w:pStyle w:val="Heading1"/>
        <w:tabs>
          <w:tab w:val="center" w:pos="4053"/>
        </w:tabs>
        <w:ind w:left="-3"/>
      </w:pPr>
      <w:bookmarkStart w:id="7" w:name="_Toc43534"/>
      <w:r>
        <w:t xml:space="preserve">7. </w:t>
      </w:r>
      <w:r>
        <w:tab/>
        <w:t xml:space="preserve">MANAGEMENT INFORMATION/REPORTING </w:t>
      </w:r>
      <w:bookmarkEnd w:id="7"/>
    </w:p>
    <w:p w14:paraId="0C0240CF" w14:textId="77777777" w:rsidR="007D1264" w:rsidRDefault="007D1264">
      <w:pPr>
        <w:ind w:left="1852" w:right="713" w:hanging="720"/>
      </w:pPr>
      <w:r>
        <w:t xml:space="preserve">7.1 The Provider must ensure that the HORC Analytics Team is given access to the Provider’s ATS and are able to download data relating to campaigns under the contract as and when necessary. The Provider should provide training to the HORC Analytics Team, so they are able to use the ATS and reporting mechanisms effectively. </w:t>
      </w:r>
    </w:p>
    <w:p w14:paraId="4D7D0BC8" w14:textId="77777777" w:rsidR="007D1264" w:rsidRDefault="007D1264">
      <w:pPr>
        <w:spacing w:after="10"/>
        <w:ind w:left="1852" w:right="713" w:hanging="720"/>
      </w:pPr>
      <w:r>
        <w:t xml:space="preserve">7.2 In addition, the Provider must supply the following reports on a regular basis: </w:t>
      </w:r>
    </w:p>
    <w:tbl>
      <w:tblPr>
        <w:tblStyle w:val="TableGrid0"/>
        <w:tblW w:w="8301" w:type="dxa"/>
        <w:tblInd w:w="737" w:type="dxa"/>
        <w:tblCellMar>
          <w:top w:w="13" w:type="dxa"/>
          <w:left w:w="106" w:type="dxa"/>
          <w:right w:w="41" w:type="dxa"/>
        </w:tblCellMar>
        <w:tblLook w:val="04A0" w:firstRow="1" w:lastRow="0" w:firstColumn="1" w:lastColumn="0" w:noHBand="0" w:noVBand="1"/>
      </w:tblPr>
      <w:tblGrid>
        <w:gridCol w:w="1311"/>
        <w:gridCol w:w="2977"/>
        <w:gridCol w:w="1428"/>
        <w:gridCol w:w="2585"/>
      </w:tblGrid>
      <w:tr w:rsidR="007D1264" w14:paraId="711FDE4E" w14:textId="77777777">
        <w:trPr>
          <w:trHeight w:val="286"/>
        </w:trPr>
        <w:tc>
          <w:tcPr>
            <w:tcW w:w="1310" w:type="dxa"/>
            <w:tcBorders>
              <w:top w:val="single" w:sz="4" w:space="0" w:color="000000"/>
              <w:left w:val="single" w:sz="4" w:space="0" w:color="000000"/>
              <w:bottom w:val="single" w:sz="4" w:space="0" w:color="000000"/>
              <w:right w:val="single" w:sz="4" w:space="0" w:color="000000"/>
            </w:tcBorders>
          </w:tcPr>
          <w:p w14:paraId="5139D58A" w14:textId="77777777" w:rsidR="007D1264" w:rsidRDefault="007D1264">
            <w:pPr>
              <w:spacing w:line="259" w:lineRule="auto"/>
              <w:ind w:left="2"/>
            </w:pPr>
            <w:r>
              <w:rPr>
                <w:rFonts w:ascii="Arial" w:eastAsia="Arial" w:hAnsi="Arial" w:cs="Arial"/>
                <w:b/>
              </w:rPr>
              <w:t xml:space="preserve">Report </w:t>
            </w:r>
          </w:p>
        </w:tc>
        <w:tc>
          <w:tcPr>
            <w:tcW w:w="2977" w:type="dxa"/>
            <w:tcBorders>
              <w:top w:val="single" w:sz="4" w:space="0" w:color="000000"/>
              <w:left w:val="single" w:sz="4" w:space="0" w:color="000000"/>
              <w:bottom w:val="single" w:sz="4" w:space="0" w:color="000000"/>
              <w:right w:val="single" w:sz="4" w:space="0" w:color="000000"/>
            </w:tcBorders>
          </w:tcPr>
          <w:p w14:paraId="32C1FFD3" w14:textId="77777777" w:rsidR="007D1264" w:rsidRDefault="007D1264">
            <w:pPr>
              <w:spacing w:line="259" w:lineRule="auto"/>
              <w:ind w:left="3"/>
            </w:pPr>
            <w:r>
              <w:rPr>
                <w:rFonts w:ascii="Arial" w:eastAsia="Arial" w:hAnsi="Arial" w:cs="Arial"/>
                <w:b/>
              </w:rPr>
              <w:t xml:space="preserve">Description </w:t>
            </w:r>
          </w:p>
        </w:tc>
        <w:tc>
          <w:tcPr>
            <w:tcW w:w="1428" w:type="dxa"/>
            <w:tcBorders>
              <w:top w:val="single" w:sz="4" w:space="0" w:color="000000"/>
              <w:left w:val="single" w:sz="4" w:space="0" w:color="000000"/>
              <w:bottom w:val="single" w:sz="4" w:space="0" w:color="000000"/>
              <w:right w:val="single" w:sz="4" w:space="0" w:color="000000"/>
            </w:tcBorders>
          </w:tcPr>
          <w:p w14:paraId="578022AF" w14:textId="77777777" w:rsidR="007D1264" w:rsidRDefault="007D1264">
            <w:pPr>
              <w:spacing w:line="259" w:lineRule="auto"/>
            </w:pPr>
            <w:r>
              <w:rPr>
                <w:rFonts w:ascii="Arial" w:eastAsia="Arial" w:hAnsi="Arial" w:cs="Arial"/>
                <w:b/>
              </w:rPr>
              <w:t xml:space="preserve">Frequency </w:t>
            </w:r>
          </w:p>
        </w:tc>
        <w:tc>
          <w:tcPr>
            <w:tcW w:w="2585" w:type="dxa"/>
            <w:tcBorders>
              <w:top w:val="single" w:sz="4" w:space="0" w:color="000000"/>
              <w:left w:val="single" w:sz="4" w:space="0" w:color="000000"/>
              <w:bottom w:val="single" w:sz="4" w:space="0" w:color="000000"/>
              <w:right w:val="single" w:sz="4" w:space="0" w:color="000000"/>
            </w:tcBorders>
          </w:tcPr>
          <w:p w14:paraId="69BF7607" w14:textId="77777777" w:rsidR="007D1264" w:rsidRDefault="007D1264">
            <w:pPr>
              <w:spacing w:line="259" w:lineRule="auto"/>
              <w:ind w:left="2"/>
            </w:pPr>
            <w:r>
              <w:rPr>
                <w:rFonts w:ascii="Arial" w:eastAsia="Arial" w:hAnsi="Arial" w:cs="Arial"/>
                <w:b/>
              </w:rPr>
              <w:t xml:space="preserve">Audience </w:t>
            </w:r>
          </w:p>
        </w:tc>
      </w:tr>
      <w:tr w:rsidR="007D1264" w14:paraId="4BF61635" w14:textId="77777777">
        <w:trPr>
          <w:trHeight w:val="2218"/>
        </w:trPr>
        <w:tc>
          <w:tcPr>
            <w:tcW w:w="1310" w:type="dxa"/>
            <w:tcBorders>
              <w:top w:val="single" w:sz="4" w:space="0" w:color="000000"/>
              <w:left w:val="single" w:sz="4" w:space="0" w:color="000000"/>
              <w:bottom w:val="single" w:sz="4" w:space="0" w:color="000000"/>
              <w:right w:val="single" w:sz="4" w:space="0" w:color="000000"/>
            </w:tcBorders>
          </w:tcPr>
          <w:p w14:paraId="6EA04886" w14:textId="77777777" w:rsidR="007D1264" w:rsidRDefault="007D1264">
            <w:pPr>
              <w:spacing w:line="259" w:lineRule="auto"/>
              <w:ind w:left="2"/>
            </w:pPr>
            <w:r>
              <w:t xml:space="preserve">Campaign </w:t>
            </w:r>
          </w:p>
          <w:p w14:paraId="160B35FE" w14:textId="77777777" w:rsidR="007D1264" w:rsidRDefault="007D1264">
            <w:pPr>
              <w:spacing w:line="259" w:lineRule="auto"/>
              <w:ind w:left="2"/>
            </w:pPr>
            <w:r>
              <w:t xml:space="preserve">report </w:t>
            </w:r>
          </w:p>
        </w:tc>
        <w:tc>
          <w:tcPr>
            <w:tcW w:w="2977" w:type="dxa"/>
            <w:tcBorders>
              <w:top w:val="single" w:sz="4" w:space="0" w:color="000000"/>
              <w:left w:val="single" w:sz="4" w:space="0" w:color="000000"/>
              <w:bottom w:val="single" w:sz="4" w:space="0" w:color="000000"/>
              <w:right w:val="single" w:sz="4" w:space="0" w:color="000000"/>
            </w:tcBorders>
          </w:tcPr>
          <w:p w14:paraId="472307BF" w14:textId="77777777" w:rsidR="007D1264" w:rsidRDefault="007D1264">
            <w:pPr>
              <w:spacing w:line="259" w:lineRule="auto"/>
              <w:ind w:left="3" w:right="67"/>
            </w:pPr>
            <w:r>
              <w:t xml:space="preserve">Report per campaign including all data described in Annex 1 (Data Headers). This report should include D&amp;I statistics for candidates at each stage of the recruitment process. </w:t>
            </w:r>
          </w:p>
        </w:tc>
        <w:tc>
          <w:tcPr>
            <w:tcW w:w="1428" w:type="dxa"/>
            <w:tcBorders>
              <w:top w:val="single" w:sz="4" w:space="0" w:color="000000"/>
              <w:left w:val="single" w:sz="4" w:space="0" w:color="000000"/>
              <w:bottom w:val="single" w:sz="4" w:space="0" w:color="000000"/>
              <w:right w:val="single" w:sz="4" w:space="0" w:color="000000"/>
            </w:tcBorders>
          </w:tcPr>
          <w:p w14:paraId="25ED0640" w14:textId="77777777" w:rsidR="007D1264" w:rsidRDefault="007D1264">
            <w:pPr>
              <w:spacing w:line="259" w:lineRule="auto"/>
            </w:pPr>
            <w:r>
              <w:t xml:space="preserve">Weekly </w:t>
            </w:r>
          </w:p>
        </w:tc>
        <w:tc>
          <w:tcPr>
            <w:tcW w:w="2585" w:type="dxa"/>
            <w:tcBorders>
              <w:top w:val="single" w:sz="4" w:space="0" w:color="000000"/>
              <w:left w:val="single" w:sz="4" w:space="0" w:color="000000"/>
              <w:bottom w:val="single" w:sz="4" w:space="0" w:color="000000"/>
              <w:right w:val="single" w:sz="4" w:space="0" w:color="000000"/>
            </w:tcBorders>
          </w:tcPr>
          <w:p w14:paraId="11159341" w14:textId="77777777" w:rsidR="007D1264" w:rsidRDefault="007D1264">
            <w:pPr>
              <w:spacing w:line="241" w:lineRule="auto"/>
              <w:ind w:left="2"/>
            </w:pPr>
            <w:r>
              <w:t>HORC and Vacancy Holder(s) (</w:t>
            </w:r>
            <w:proofErr w:type="spellStart"/>
            <w:r>
              <w:t>cc’ed</w:t>
            </w:r>
            <w:proofErr w:type="spellEnd"/>
            <w:r>
              <w:t xml:space="preserve"> to </w:t>
            </w:r>
          </w:p>
          <w:p w14:paraId="03BEDB77" w14:textId="77777777" w:rsidR="007D1264" w:rsidRDefault="007D1264">
            <w:pPr>
              <w:spacing w:line="259" w:lineRule="auto"/>
              <w:ind w:left="2"/>
            </w:pPr>
            <w:r>
              <w:t xml:space="preserve">HORC analytics team) </w:t>
            </w:r>
          </w:p>
        </w:tc>
      </w:tr>
      <w:tr w:rsidR="007D1264" w14:paraId="3654C6B2" w14:textId="77777777">
        <w:trPr>
          <w:trHeight w:val="1390"/>
        </w:trPr>
        <w:tc>
          <w:tcPr>
            <w:tcW w:w="1310" w:type="dxa"/>
            <w:tcBorders>
              <w:top w:val="single" w:sz="4" w:space="0" w:color="000000"/>
              <w:left w:val="single" w:sz="4" w:space="0" w:color="000000"/>
              <w:bottom w:val="single" w:sz="4" w:space="0" w:color="000000"/>
              <w:right w:val="single" w:sz="4" w:space="0" w:color="000000"/>
            </w:tcBorders>
          </w:tcPr>
          <w:p w14:paraId="3ABECF03" w14:textId="77777777" w:rsidR="007D1264" w:rsidRDefault="007D1264">
            <w:pPr>
              <w:tabs>
                <w:tab w:val="right" w:pos="1163"/>
              </w:tabs>
              <w:spacing w:line="259" w:lineRule="auto"/>
            </w:pPr>
            <w:r>
              <w:t xml:space="preserve">End </w:t>
            </w:r>
            <w:r>
              <w:tab/>
              <w:t xml:space="preserve">of </w:t>
            </w:r>
          </w:p>
          <w:p w14:paraId="4518852D" w14:textId="77777777" w:rsidR="007D1264" w:rsidRDefault="007D1264">
            <w:pPr>
              <w:spacing w:line="259" w:lineRule="auto"/>
              <w:ind w:left="2"/>
            </w:pPr>
            <w:r>
              <w:t xml:space="preserve">Campaign </w:t>
            </w:r>
          </w:p>
          <w:p w14:paraId="58B9D614" w14:textId="77777777" w:rsidR="007D1264" w:rsidRDefault="007D1264">
            <w:pPr>
              <w:spacing w:line="259" w:lineRule="auto"/>
              <w:ind w:left="2"/>
            </w:pPr>
            <w:r>
              <w:t xml:space="preserve">Report </w:t>
            </w:r>
          </w:p>
        </w:tc>
        <w:tc>
          <w:tcPr>
            <w:tcW w:w="2977" w:type="dxa"/>
            <w:tcBorders>
              <w:top w:val="single" w:sz="4" w:space="0" w:color="000000"/>
              <w:left w:val="single" w:sz="4" w:space="0" w:color="000000"/>
              <w:bottom w:val="single" w:sz="4" w:space="0" w:color="000000"/>
              <w:right w:val="single" w:sz="4" w:space="0" w:color="000000"/>
            </w:tcBorders>
          </w:tcPr>
          <w:p w14:paraId="6C56A916" w14:textId="77777777" w:rsidR="007D1264" w:rsidRDefault="007D1264">
            <w:pPr>
              <w:spacing w:line="259" w:lineRule="auto"/>
              <w:ind w:left="3" w:right="67"/>
            </w:pPr>
            <w:r>
              <w:t xml:space="preserve">Full campaign report including all data described in Annex 1 (Data Headers). This should also include </w:t>
            </w:r>
          </w:p>
        </w:tc>
        <w:tc>
          <w:tcPr>
            <w:tcW w:w="1428" w:type="dxa"/>
            <w:tcBorders>
              <w:top w:val="single" w:sz="4" w:space="0" w:color="000000"/>
              <w:left w:val="single" w:sz="4" w:space="0" w:color="000000"/>
              <w:bottom w:val="single" w:sz="4" w:space="0" w:color="000000"/>
              <w:right w:val="single" w:sz="4" w:space="0" w:color="000000"/>
            </w:tcBorders>
          </w:tcPr>
          <w:p w14:paraId="53A19971" w14:textId="77777777" w:rsidR="007D1264" w:rsidRDefault="007D1264">
            <w:pPr>
              <w:tabs>
                <w:tab w:val="right" w:pos="1281"/>
              </w:tabs>
              <w:spacing w:line="259" w:lineRule="auto"/>
            </w:pPr>
            <w:r>
              <w:t xml:space="preserve">Within </w:t>
            </w:r>
            <w:r>
              <w:tab/>
              <w:t xml:space="preserve">5 </w:t>
            </w:r>
          </w:p>
          <w:p w14:paraId="798865FB" w14:textId="77777777" w:rsidR="007D1264" w:rsidRDefault="007D1264">
            <w:pPr>
              <w:spacing w:line="259" w:lineRule="auto"/>
            </w:pPr>
            <w:r>
              <w:t xml:space="preserve">working days of the end </w:t>
            </w:r>
            <w:r>
              <w:tab/>
              <w:t xml:space="preserve">of </w:t>
            </w:r>
          </w:p>
        </w:tc>
        <w:tc>
          <w:tcPr>
            <w:tcW w:w="2585" w:type="dxa"/>
            <w:tcBorders>
              <w:top w:val="single" w:sz="4" w:space="0" w:color="000000"/>
              <w:left w:val="single" w:sz="4" w:space="0" w:color="000000"/>
              <w:bottom w:val="single" w:sz="4" w:space="0" w:color="000000"/>
              <w:right w:val="single" w:sz="4" w:space="0" w:color="000000"/>
            </w:tcBorders>
          </w:tcPr>
          <w:p w14:paraId="00BD3789" w14:textId="77777777" w:rsidR="007D1264" w:rsidRDefault="007D1264">
            <w:pPr>
              <w:ind w:left="2"/>
            </w:pPr>
            <w:r>
              <w:t>HORC and Vacancy Holder(s) (</w:t>
            </w:r>
            <w:proofErr w:type="spellStart"/>
            <w:r>
              <w:t>cc’ed</w:t>
            </w:r>
            <w:proofErr w:type="spellEnd"/>
            <w:r>
              <w:t xml:space="preserve"> to </w:t>
            </w:r>
          </w:p>
          <w:p w14:paraId="7608453A" w14:textId="77777777" w:rsidR="007D1264" w:rsidRDefault="007D1264">
            <w:pPr>
              <w:spacing w:line="259" w:lineRule="auto"/>
              <w:ind w:left="2"/>
            </w:pPr>
            <w:r>
              <w:t xml:space="preserve">HORC analytics team) </w:t>
            </w:r>
          </w:p>
        </w:tc>
      </w:tr>
      <w:tr w:rsidR="007D1264" w14:paraId="00360A32" w14:textId="77777777">
        <w:trPr>
          <w:trHeight w:val="1942"/>
        </w:trPr>
        <w:tc>
          <w:tcPr>
            <w:tcW w:w="1310" w:type="dxa"/>
            <w:tcBorders>
              <w:top w:val="single" w:sz="4" w:space="0" w:color="000000"/>
              <w:left w:val="single" w:sz="4" w:space="0" w:color="000000"/>
              <w:bottom w:val="single" w:sz="4" w:space="0" w:color="000000"/>
              <w:right w:val="single" w:sz="4" w:space="0" w:color="000000"/>
            </w:tcBorders>
          </w:tcPr>
          <w:p w14:paraId="6D576D02" w14:textId="77777777" w:rsidR="007D1264" w:rsidRDefault="007D1264">
            <w:pPr>
              <w:spacing w:after="160" w:line="259" w:lineRule="auto"/>
            </w:pPr>
          </w:p>
        </w:tc>
        <w:tc>
          <w:tcPr>
            <w:tcW w:w="2977" w:type="dxa"/>
            <w:tcBorders>
              <w:top w:val="single" w:sz="4" w:space="0" w:color="000000"/>
              <w:left w:val="single" w:sz="4" w:space="0" w:color="000000"/>
              <w:bottom w:val="single" w:sz="4" w:space="0" w:color="000000"/>
              <w:right w:val="single" w:sz="4" w:space="0" w:color="000000"/>
            </w:tcBorders>
          </w:tcPr>
          <w:p w14:paraId="4DFDD778" w14:textId="77777777" w:rsidR="007D1264" w:rsidRDefault="007D1264">
            <w:pPr>
              <w:ind w:left="3" w:right="67"/>
            </w:pPr>
            <w:r>
              <w:t xml:space="preserve">lessons learned from the campaign in terms of what worked and what didn’t, which should be discussed and agreed between HORC and the </w:t>
            </w:r>
          </w:p>
          <w:p w14:paraId="1E3FE63F" w14:textId="77777777" w:rsidR="007D1264" w:rsidRDefault="007D1264">
            <w:pPr>
              <w:spacing w:line="259" w:lineRule="auto"/>
              <w:ind w:left="3"/>
            </w:pPr>
            <w:r>
              <w:t xml:space="preserve">Provider. </w:t>
            </w:r>
          </w:p>
        </w:tc>
        <w:tc>
          <w:tcPr>
            <w:tcW w:w="1428" w:type="dxa"/>
            <w:tcBorders>
              <w:top w:val="single" w:sz="4" w:space="0" w:color="000000"/>
              <w:left w:val="single" w:sz="4" w:space="0" w:color="000000"/>
              <w:bottom w:val="single" w:sz="4" w:space="0" w:color="000000"/>
              <w:right w:val="single" w:sz="4" w:space="0" w:color="000000"/>
            </w:tcBorders>
          </w:tcPr>
          <w:p w14:paraId="1470B596" w14:textId="77777777" w:rsidR="007D1264" w:rsidRDefault="007D1264">
            <w:pPr>
              <w:spacing w:line="259" w:lineRule="auto"/>
            </w:pPr>
            <w:r>
              <w:t xml:space="preserve">each campaign </w:t>
            </w:r>
          </w:p>
        </w:tc>
        <w:tc>
          <w:tcPr>
            <w:tcW w:w="2585" w:type="dxa"/>
            <w:tcBorders>
              <w:top w:val="single" w:sz="4" w:space="0" w:color="000000"/>
              <w:left w:val="single" w:sz="4" w:space="0" w:color="000000"/>
              <w:bottom w:val="single" w:sz="4" w:space="0" w:color="000000"/>
              <w:right w:val="single" w:sz="4" w:space="0" w:color="000000"/>
            </w:tcBorders>
          </w:tcPr>
          <w:p w14:paraId="42F305E5" w14:textId="77777777" w:rsidR="007D1264" w:rsidRDefault="007D1264">
            <w:pPr>
              <w:spacing w:after="160" w:line="259" w:lineRule="auto"/>
            </w:pPr>
          </w:p>
        </w:tc>
      </w:tr>
      <w:tr w:rsidR="007D1264" w14:paraId="0355B2A8" w14:textId="77777777">
        <w:trPr>
          <w:trHeight w:val="3853"/>
        </w:trPr>
        <w:tc>
          <w:tcPr>
            <w:tcW w:w="1310" w:type="dxa"/>
            <w:tcBorders>
              <w:top w:val="single" w:sz="4" w:space="0" w:color="000000"/>
              <w:left w:val="single" w:sz="4" w:space="0" w:color="000000"/>
              <w:bottom w:val="single" w:sz="4" w:space="0" w:color="000000"/>
              <w:right w:val="single" w:sz="4" w:space="0" w:color="000000"/>
            </w:tcBorders>
          </w:tcPr>
          <w:p w14:paraId="3431D823" w14:textId="77777777" w:rsidR="007D1264" w:rsidRDefault="007D1264">
            <w:pPr>
              <w:spacing w:line="259" w:lineRule="auto"/>
              <w:ind w:left="2"/>
            </w:pPr>
            <w:r>
              <w:t xml:space="preserve">Media report </w:t>
            </w:r>
          </w:p>
        </w:tc>
        <w:tc>
          <w:tcPr>
            <w:tcW w:w="2977" w:type="dxa"/>
            <w:tcBorders>
              <w:top w:val="single" w:sz="4" w:space="0" w:color="000000"/>
              <w:left w:val="single" w:sz="4" w:space="0" w:color="000000"/>
              <w:bottom w:val="single" w:sz="4" w:space="0" w:color="000000"/>
              <w:right w:val="single" w:sz="4" w:space="0" w:color="000000"/>
            </w:tcBorders>
          </w:tcPr>
          <w:p w14:paraId="773D847D" w14:textId="77777777" w:rsidR="007D1264" w:rsidRDefault="007D1264">
            <w:pPr>
              <w:spacing w:line="241" w:lineRule="auto"/>
              <w:ind w:left="3" w:right="66"/>
            </w:pPr>
            <w:r>
              <w:t xml:space="preserve">Report describing media spend and applications by channel and location, using Annex 3 – Media Reporting as a template. </w:t>
            </w:r>
          </w:p>
          <w:p w14:paraId="0E10AC78" w14:textId="77777777" w:rsidR="007D1264" w:rsidRDefault="007D1264">
            <w:pPr>
              <w:spacing w:line="259" w:lineRule="auto"/>
              <w:ind w:left="3"/>
            </w:pPr>
            <w:r>
              <w:t xml:space="preserve"> </w:t>
            </w:r>
          </w:p>
          <w:p w14:paraId="30B53137" w14:textId="77777777" w:rsidR="007D1264" w:rsidRDefault="007D1264">
            <w:pPr>
              <w:spacing w:line="259" w:lineRule="auto"/>
              <w:ind w:left="3" w:right="66"/>
            </w:pPr>
            <w:r>
              <w:t xml:space="preserve">To be accompanied by a weekly meeting during the lifetime of each campaign with the HORC Brand and Experience team to discuss progress and determine any actions required. </w:t>
            </w:r>
          </w:p>
        </w:tc>
        <w:tc>
          <w:tcPr>
            <w:tcW w:w="1428" w:type="dxa"/>
            <w:tcBorders>
              <w:top w:val="single" w:sz="4" w:space="0" w:color="000000"/>
              <w:left w:val="single" w:sz="4" w:space="0" w:color="000000"/>
              <w:bottom w:val="single" w:sz="4" w:space="0" w:color="000000"/>
              <w:right w:val="single" w:sz="4" w:space="0" w:color="000000"/>
            </w:tcBorders>
          </w:tcPr>
          <w:p w14:paraId="322DD89B" w14:textId="77777777" w:rsidR="007D1264" w:rsidRDefault="007D1264">
            <w:pPr>
              <w:spacing w:line="259" w:lineRule="auto"/>
            </w:pPr>
            <w:r>
              <w:t xml:space="preserve">Weekly during the lifetime of a campaign. </w:t>
            </w:r>
          </w:p>
        </w:tc>
        <w:tc>
          <w:tcPr>
            <w:tcW w:w="2585" w:type="dxa"/>
            <w:tcBorders>
              <w:top w:val="single" w:sz="4" w:space="0" w:color="000000"/>
              <w:left w:val="single" w:sz="4" w:space="0" w:color="000000"/>
              <w:bottom w:val="single" w:sz="4" w:space="0" w:color="000000"/>
              <w:right w:val="single" w:sz="4" w:space="0" w:color="000000"/>
            </w:tcBorders>
          </w:tcPr>
          <w:p w14:paraId="23DB930B" w14:textId="77777777" w:rsidR="007D1264" w:rsidRDefault="007D1264">
            <w:pPr>
              <w:tabs>
                <w:tab w:val="center" w:pos="1338"/>
                <w:tab w:val="right" w:pos="2438"/>
              </w:tabs>
              <w:spacing w:line="259" w:lineRule="auto"/>
            </w:pPr>
            <w:r>
              <w:t xml:space="preserve">HORC </w:t>
            </w:r>
            <w:r>
              <w:tab/>
              <w:t xml:space="preserve">Brand </w:t>
            </w:r>
            <w:r>
              <w:tab/>
              <w:t xml:space="preserve">and </w:t>
            </w:r>
          </w:p>
          <w:p w14:paraId="39A4D394" w14:textId="77777777" w:rsidR="007D1264" w:rsidRDefault="007D1264">
            <w:pPr>
              <w:spacing w:line="259" w:lineRule="auto"/>
              <w:ind w:left="2"/>
            </w:pPr>
            <w:r>
              <w:t xml:space="preserve">Experience team </w:t>
            </w:r>
          </w:p>
        </w:tc>
      </w:tr>
      <w:tr w:rsidR="007D1264" w14:paraId="4DF68DB9" w14:textId="77777777">
        <w:trPr>
          <w:trHeight w:val="1114"/>
        </w:trPr>
        <w:tc>
          <w:tcPr>
            <w:tcW w:w="1310" w:type="dxa"/>
            <w:tcBorders>
              <w:top w:val="single" w:sz="4" w:space="0" w:color="000000"/>
              <w:left w:val="single" w:sz="4" w:space="0" w:color="000000"/>
              <w:bottom w:val="single" w:sz="4" w:space="0" w:color="000000"/>
              <w:right w:val="single" w:sz="4" w:space="0" w:color="000000"/>
            </w:tcBorders>
          </w:tcPr>
          <w:p w14:paraId="09B37B00" w14:textId="77777777" w:rsidR="007D1264" w:rsidRDefault="007D1264">
            <w:pPr>
              <w:spacing w:line="259" w:lineRule="auto"/>
              <w:ind w:left="2" w:right="38"/>
            </w:pPr>
            <w:r>
              <w:t xml:space="preserve">Master data sheet </w:t>
            </w:r>
          </w:p>
        </w:tc>
        <w:tc>
          <w:tcPr>
            <w:tcW w:w="2977" w:type="dxa"/>
            <w:tcBorders>
              <w:top w:val="single" w:sz="4" w:space="0" w:color="000000"/>
              <w:left w:val="single" w:sz="4" w:space="0" w:color="000000"/>
              <w:bottom w:val="single" w:sz="4" w:space="0" w:color="000000"/>
              <w:right w:val="single" w:sz="4" w:space="0" w:color="000000"/>
            </w:tcBorders>
          </w:tcPr>
          <w:p w14:paraId="458269AB" w14:textId="77777777" w:rsidR="007D1264" w:rsidRDefault="007D1264">
            <w:pPr>
              <w:spacing w:line="259" w:lineRule="auto"/>
              <w:ind w:left="3" w:right="67"/>
            </w:pPr>
            <w:r>
              <w:t xml:space="preserve">Report detailing volume of candidates who have hit the invoicing trigger point in the reporting month </w:t>
            </w:r>
          </w:p>
        </w:tc>
        <w:tc>
          <w:tcPr>
            <w:tcW w:w="1428" w:type="dxa"/>
            <w:tcBorders>
              <w:top w:val="single" w:sz="4" w:space="0" w:color="000000"/>
              <w:left w:val="single" w:sz="4" w:space="0" w:color="000000"/>
              <w:bottom w:val="single" w:sz="4" w:space="0" w:color="000000"/>
              <w:right w:val="single" w:sz="4" w:space="0" w:color="000000"/>
            </w:tcBorders>
          </w:tcPr>
          <w:p w14:paraId="371CA794" w14:textId="77777777" w:rsidR="007D1264" w:rsidRDefault="007D1264">
            <w:pPr>
              <w:spacing w:line="259" w:lineRule="auto"/>
            </w:pPr>
            <w:r>
              <w:t xml:space="preserve">Monthly </w:t>
            </w:r>
          </w:p>
        </w:tc>
        <w:tc>
          <w:tcPr>
            <w:tcW w:w="2585" w:type="dxa"/>
            <w:tcBorders>
              <w:top w:val="single" w:sz="4" w:space="0" w:color="000000"/>
              <w:left w:val="single" w:sz="4" w:space="0" w:color="000000"/>
              <w:bottom w:val="single" w:sz="4" w:space="0" w:color="000000"/>
              <w:right w:val="single" w:sz="4" w:space="0" w:color="000000"/>
            </w:tcBorders>
          </w:tcPr>
          <w:p w14:paraId="6155A62A" w14:textId="77777777" w:rsidR="007D1264" w:rsidRDefault="007D1264">
            <w:pPr>
              <w:tabs>
                <w:tab w:val="right" w:pos="2438"/>
              </w:tabs>
              <w:spacing w:line="259" w:lineRule="auto"/>
            </w:pPr>
            <w:r>
              <w:t xml:space="preserve">HORC </w:t>
            </w:r>
            <w:r>
              <w:tab/>
              <w:t xml:space="preserve">Contract </w:t>
            </w:r>
          </w:p>
          <w:p w14:paraId="2DD48B73" w14:textId="77777777" w:rsidR="007D1264" w:rsidRDefault="007D1264">
            <w:pPr>
              <w:spacing w:line="259" w:lineRule="auto"/>
              <w:ind w:left="2"/>
            </w:pPr>
            <w:r>
              <w:t xml:space="preserve">Manager </w:t>
            </w:r>
          </w:p>
        </w:tc>
      </w:tr>
    </w:tbl>
    <w:p w14:paraId="06A7CEF9" w14:textId="77777777" w:rsidR="007D1264" w:rsidRDefault="007D1264">
      <w:pPr>
        <w:spacing w:after="237" w:line="259" w:lineRule="auto"/>
        <w:ind w:left="12"/>
      </w:pPr>
      <w:r>
        <w:rPr>
          <w:rFonts w:ascii="Arial" w:eastAsia="Arial" w:hAnsi="Arial" w:cs="Arial"/>
          <w:b/>
        </w:rPr>
        <w:t xml:space="preserve"> </w:t>
      </w:r>
    </w:p>
    <w:p w14:paraId="6EBBD4FC" w14:textId="77777777" w:rsidR="007D1264" w:rsidRDefault="007D1264">
      <w:pPr>
        <w:ind w:left="1852" w:right="713" w:hanging="720"/>
      </w:pPr>
      <w:r>
        <w:t xml:space="preserve">7.3 Reports described in the table above should be supplied via a modern, online solution which is compatible with Home Office IT and is easily understandable by a wide audience. </w:t>
      </w:r>
    </w:p>
    <w:p w14:paraId="36E6C008" w14:textId="77777777" w:rsidR="007D1264" w:rsidRDefault="007D1264">
      <w:pPr>
        <w:ind w:left="1852" w:right="713" w:hanging="720"/>
      </w:pPr>
      <w:r>
        <w:t xml:space="preserve">7.4 All reports should be accompanied by (at a minimum) a raw data CSV file sent to the HORC Analytics Team at the same frequencies as in the table above. </w:t>
      </w:r>
    </w:p>
    <w:p w14:paraId="4D61CFBE" w14:textId="77777777" w:rsidR="007D1264" w:rsidRDefault="007D1264">
      <w:pPr>
        <w:ind w:left="1852" w:right="713" w:hanging="720"/>
      </w:pPr>
      <w:r>
        <w:t xml:space="preserve">7.5 All KPIs and SPIs outlined in the Service Levels schedule should correspond with a report, so that the data which makes up service level performance is available to the Home Office.  </w:t>
      </w:r>
    </w:p>
    <w:p w14:paraId="3C6B87E3" w14:textId="77777777" w:rsidR="007D1264" w:rsidRDefault="007D1264">
      <w:pPr>
        <w:ind w:left="1852" w:right="713" w:hanging="720"/>
      </w:pPr>
      <w:r>
        <w:t xml:space="preserve">7.6 In addition to the above, it is expected that the Provider will provide information upon request to include but not limited to:   </w:t>
      </w:r>
    </w:p>
    <w:p w14:paraId="0448DD78" w14:textId="77777777" w:rsidR="007D1264" w:rsidRDefault="007D1264" w:rsidP="007D1264">
      <w:pPr>
        <w:numPr>
          <w:ilvl w:val="0"/>
          <w:numId w:val="15"/>
        </w:numPr>
        <w:spacing w:after="233" w:line="249" w:lineRule="auto"/>
        <w:ind w:right="713" w:hanging="360"/>
        <w:jc w:val="both"/>
      </w:pPr>
      <w:r>
        <w:t xml:space="preserve">Numbers of candidates presented   </w:t>
      </w:r>
    </w:p>
    <w:p w14:paraId="7A64FB70" w14:textId="77777777" w:rsidR="007D1264" w:rsidRDefault="007D1264" w:rsidP="007D1264">
      <w:pPr>
        <w:numPr>
          <w:ilvl w:val="0"/>
          <w:numId w:val="15"/>
        </w:numPr>
        <w:spacing w:after="233" w:line="249" w:lineRule="auto"/>
        <w:ind w:right="713" w:hanging="360"/>
        <w:jc w:val="both"/>
      </w:pPr>
      <w:r>
        <w:t xml:space="preserve">Locations of candidates presented   </w:t>
      </w:r>
    </w:p>
    <w:p w14:paraId="0F0EF665" w14:textId="77777777" w:rsidR="007D1264" w:rsidRDefault="007D1264" w:rsidP="007D1264">
      <w:pPr>
        <w:numPr>
          <w:ilvl w:val="0"/>
          <w:numId w:val="15"/>
        </w:numPr>
        <w:spacing w:after="0" w:line="259" w:lineRule="auto"/>
        <w:ind w:right="713" w:hanging="360"/>
        <w:jc w:val="both"/>
      </w:pPr>
      <w:r>
        <w:t xml:space="preserve">Sector/professional background of candidates presented   </w:t>
      </w:r>
    </w:p>
    <w:p w14:paraId="4C0F3A29" w14:textId="77777777" w:rsidR="007D1264" w:rsidRDefault="007D1264" w:rsidP="007D1264">
      <w:pPr>
        <w:numPr>
          <w:ilvl w:val="0"/>
          <w:numId w:val="15"/>
        </w:numPr>
        <w:spacing w:after="233" w:line="249" w:lineRule="auto"/>
        <w:ind w:right="713" w:hanging="360"/>
        <w:jc w:val="both"/>
      </w:pPr>
      <w:r>
        <w:t xml:space="preserve">Reasons for candidate rejection of offers   </w:t>
      </w:r>
    </w:p>
    <w:p w14:paraId="7F371CF1" w14:textId="77777777" w:rsidR="007D1264" w:rsidRDefault="007D1264" w:rsidP="007D1264">
      <w:pPr>
        <w:numPr>
          <w:ilvl w:val="0"/>
          <w:numId w:val="15"/>
        </w:numPr>
        <w:spacing w:after="302" w:line="249" w:lineRule="auto"/>
        <w:ind w:right="713" w:hanging="360"/>
        <w:jc w:val="both"/>
      </w:pPr>
      <w:r>
        <w:lastRenderedPageBreak/>
        <w:t xml:space="preserve">National and local pay comparison data across all role types </w:t>
      </w:r>
    </w:p>
    <w:p w14:paraId="005E58E5" w14:textId="77777777" w:rsidR="007D1264" w:rsidRDefault="007D1264">
      <w:pPr>
        <w:pStyle w:val="Heading1"/>
        <w:tabs>
          <w:tab w:val="center" w:pos="1509"/>
        </w:tabs>
        <w:ind w:left="-3"/>
      </w:pPr>
      <w:bookmarkStart w:id="8" w:name="_Toc43535"/>
      <w:r>
        <w:t xml:space="preserve">8. </w:t>
      </w:r>
      <w:r>
        <w:tab/>
        <w:t xml:space="preserve">VOLUMES </w:t>
      </w:r>
      <w:bookmarkEnd w:id="8"/>
    </w:p>
    <w:p w14:paraId="3E84E8BD" w14:textId="77777777" w:rsidR="007D1264" w:rsidRDefault="007D1264">
      <w:pPr>
        <w:ind w:left="1852" w:right="713" w:hanging="720"/>
      </w:pPr>
      <w:r>
        <w:t xml:space="preserve">8.1 The Home Office give no undertaking or guarantee of volumes during the operational period of the Contract, but the successful Provider will need to demonstrate they can cope with a large surge in recruitment activity (on average this has been an increase of 185 roles in previous campaigns from the initial hire target) and potentially a number of highly individual specialist roles.  </w:t>
      </w:r>
    </w:p>
    <w:p w14:paraId="0BE16033" w14:textId="77777777" w:rsidR="007D1264" w:rsidRDefault="007D1264">
      <w:pPr>
        <w:ind w:left="1852" w:right="713" w:hanging="720"/>
      </w:pPr>
      <w:r>
        <w:t xml:space="preserve">8.2 The Home Office has been increasing its recruitment requirements from 2020 through to 2023 for Operational Delivery roles and other professions. The creation of a Home Office Resourcing Centre has placed greater focus on the need to enhance the Home Office’s approach to media led to the creation of a bespoke branding team, development of branding tailored for use in recruitment and greater use of marketing and media channels to support recruitment activity. </w:t>
      </w:r>
    </w:p>
    <w:p w14:paraId="6034359B" w14:textId="77777777" w:rsidR="007D1264" w:rsidRDefault="007D1264">
      <w:pPr>
        <w:ind w:left="1852" w:right="713" w:hanging="720"/>
      </w:pPr>
      <w:r>
        <w:t xml:space="preserve">8.3 A typical campaign of around 100 plus posts could attract several thousand applications. </w:t>
      </w:r>
    </w:p>
    <w:p w14:paraId="4DF9542C" w14:textId="77777777" w:rsidR="007D1264" w:rsidRDefault="007D1264">
      <w:pPr>
        <w:spacing w:after="310"/>
        <w:ind w:left="1852" w:right="713" w:hanging="720"/>
      </w:pPr>
      <w:r>
        <w:t xml:space="preserve">8.4 The table below gives a forecast of estimated bulk recruitment campaigns for the Home Office for 2023 – this should not be taken as a predictor of future volumes however it should give an idea of the scale of recruitment activity which takes place each year. </w:t>
      </w:r>
    </w:p>
    <w:p w14:paraId="711F0628" w14:textId="77777777" w:rsidR="007D1264" w:rsidRDefault="007D1264">
      <w:pPr>
        <w:spacing w:after="0" w:line="259" w:lineRule="auto"/>
        <w:ind w:left="31"/>
        <w:jc w:val="center"/>
      </w:pPr>
      <w:r>
        <w:rPr>
          <w:rFonts w:cs="Calibri"/>
          <w:b/>
          <w:sz w:val="32"/>
        </w:rPr>
        <w:t xml:space="preserve">Forward look at bulk* recruitment campaigns planned from Jan 2023 onwards </w:t>
      </w:r>
    </w:p>
    <w:tbl>
      <w:tblPr>
        <w:tblStyle w:val="TableGrid0"/>
        <w:tblW w:w="10348" w:type="dxa"/>
        <w:tblInd w:w="13" w:type="dxa"/>
        <w:tblCellMar>
          <w:top w:w="56" w:type="dxa"/>
          <w:left w:w="107" w:type="dxa"/>
          <w:bottom w:w="3" w:type="dxa"/>
          <w:right w:w="45" w:type="dxa"/>
        </w:tblCellMar>
        <w:tblLook w:val="04A0" w:firstRow="1" w:lastRow="0" w:firstColumn="1" w:lastColumn="0" w:noHBand="0" w:noVBand="1"/>
      </w:tblPr>
      <w:tblGrid>
        <w:gridCol w:w="1458"/>
        <w:gridCol w:w="1476"/>
        <w:gridCol w:w="2238"/>
        <w:gridCol w:w="1414"/>
        <w:gridCol w:w="1473"/>
        <w:gridCol w:w="2289"/>
      </w:tblGrid>
      <w:tr w:rsidR="00C46DA1" w14:paraId="03CDABF6" w14:textId="77777777" w:rsidTr="00C46DA1">
        <w:trPr>
          <w:trHeight w:val="1033"/>
        </w:trPr>
        <w:tc>
          <w:tcPr>
            <w:tcW w:w="1467" w:type="dxa"/>
            <w:tcBorders>
              <w:top w:val="dashed" w:sz="4" w:space="0" w:color="000000"/>
              <w:left w:val="dashed" w:sz="4" w:space="0" w:color="000000"/>
              <w:bottom w:val="dashed" w:sz="4" w:space="0" w:color="000000"/>
              <w:right w:val="dashed" w:sz="4" w:space="0" w:color="000000"/>
            </w:tcBorders>
            <w:shd w:val="clear" w:color="auto" w:fill="8EA9DB"/>
          </w:tcPr>
          <w:p w14:paraId="4E3C1521" w14:textId="77B6A598" w:rsidR="00C46DA1" w:rsidRDefault="00C46DA1" w:rsidP="00C46DA1">
            <w:pPr>
              <w:spacing w:line="259" w:lineRule="auto"/>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401" w:type="dxa"/>
            <w:tcBorders>
              <w:top w:val="dashed" w:sz="4" w:space="0" w:color="000000"/>
              <w:left w:val="dashed" w:sz="4" w:space="0" w:color="000000"/>
              <w:bottom w:val="dashed" w:sz="4" w:space="0" w:color="000000"/>
              <w:right w:val="dashed" w:sz="4" w:space="0" w:color="000000"/>
            </w:tcBorders>
            <w:shd w:val="clear" w:color="auto" w:fill="8EA9DB"/>
          </w:tcPr>
          <w:p w14:paraId="0BBA2CEE" w14:textId="0F66C1F6" w:rsidR="00C46DA1" w:rsidRDefault="00C46DA1" w:rsidP="00C46DA1">
            <w:pPr>
              <w:spacing w:line="259" w:lineRule="auto"/>
              <w:ind w:left="1"/>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10" w:type="dxa"/>
            <w:tcBorders>
              <w:top w:val="dashed" w:sz="4" w:space="0" w:color="000000"/>
              <w:left w:val="dashed" w:sz="4" w:space="0" w:color="000000"/>
              <w:bottom w:val="dashed" w:sz="4" w:space="0" w:color="000000"/>
              <w:right w:val="dashed" w:sz="4" w:space="0" w:color="000000"/>
            </w:tcBorders>
            <w:shd w:val="clear" w:color="auto" w:fill="8EA9DB"/>
          </w:tcPr>
          <w:p w14:paraId="005A4B8E" w14:textId="7544EE13"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241" w:type="dxa"/>
            <w:tcBorders>
              <w:top w:val="dashed" w:sz="4" w:space="0" w:color="000000"/>
              <w:left w:val="dashed" w:sz="4" w:space="0" w:color="000000"/>
              <w:bottom w:val="dashed" w:sz="4" w:space="0" w:color="000000"/>
              <w:right w:val="dashed" w:sz="4" w:space="0" w:color="000000"/>
            </w:tcBorders>
            <w:shd w:val="clear" w:color="auto" w:fill="8EA9DB"/>
          </w:tcPr>
          <w:p w14:paraId="231136B1" w14:textId="6006CA1D"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357" w:type="dxa"/>
            <w:tcBorders>
              <w:top w:val="dashed" w:sz="4" w:space="0" w:color="000000"/>
              <w:left w:val="dashed" w:sz="4" w:space="0" w:color="000000"/>
              <w:bottom w:val="dashed" w:sz="4" w:space="0" w:color="000000"/>
              <w:right w:val="dashed" w:sz="4" w:space="0" w:color="000000"/>
            </w:tcBorders>
            <w:shd w:val="clear" w:color="auto" w:fill="8EA9DB"/>
          </w:tcPr>
          <w:p w14:paraId="666BEF4E" w14:textId="7EAF58A4"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72" w:type="dxa"/>
            <w:tcBorders>
              <w:top w:val="dashed" w:sz="4" w:space="0" w:color="000000"/>
              <w:left w:val="dashed" w:sz="4" w:space="0" w:color="000000"/>
              <w:bottom w:val="dashed" w:sz="4" w:space="0" w:color="000000"/>
              <w:right w:val="dashed" w:sz="4" w:space="0" w:color="000000"/>
            </w:tcBorders>
            <w:shd w:val="clear" w:color="auto" w:fill="8EA9DB"/>
          </w:tcPr>
          <w:p w14:paraId="55C864BE" w14:textId="53164228"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r>
      <w:tr w:rsidR="00C46DA1" w14:paraId="313D56EA" w14:textId="77777777" w:rsidTr="00C46DA1">
        <w:trPr>
          <w:trHeight w:val="1034"/>
        </w:trPr>
        <w:tc>
          <w:tcPr>
            <w:tcW w:w="1467" w:type="dxa"/>
            <w:tcBorders>
              <w:top w:val="dashed" w:sz="4" w:space="0" w:color="000000"/>
              <w:left w:val="dashed" w:sz="4" w:space="0" w:color="000000"/>
              <w:bottom w:val="dashed" w:sz="4" w:space="0" w:color="000000"/>
              <w:right w:val="dashed" w:sz="4" w:space="0" w:color="000000"/>
            </w:tcBorders>
            <w:shd w:val="clear" w:color="auto" w:fill="D9E1F2"/>
          </w:tcPr>
          <w:p w14:paraId="044AB52B" w14:textId="3937C976" w:rsidR="00C46DA1" w:rsidRDefault="00C46DA1" w:rsidP="00C46DA1">
            <w:pPr>
              <w:spacing w:line="259" w:lineRule="auto"/>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401" w:type="dxa"/>
            <w:tcBorders>
              <w:top w:val="dashed" w:sz="4" w:space="0" w:color="000000"/>
              <w:left w:val="dashed" w:sz="4" w:space="0" w:color="000000"/>
              <w:bottom w:val="dashed" w:sz="4" w:space="0" w:color="000000"/>
              <w:right w:val="dashed" w:sz="4" w:space="0" w:color="000000"/>
            </w:tcBorders>
            <w:shd w:val="clear" w:color="auto" w:fill="D9E1F2"/>
          </w:tcPr>
          <w:p w14:paraId="4114D9F5" w14:textId="49B0950A" w:rsidR="00C46DA1" w:rsidRDefault="00C46DA1" w:rsidP="00C46DA1">
            <w:pPr>
              <w:spacing w:line="259" w:lineRule="auto"/>
              <w:ind w:right="63"/>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10" w:type="dxa"/>
            <w:tcBorders>
              <w:top w:val="dashed" w:sz="4" w:space="0" w:color="000000"/>
              <w:left w:val="dashed" w:sz="4" w:space="0" w:color="000000"/>
              <w:bottom w:val="dashed" w:sz="4" w:space="0" w:color="000000"/>
              <w:right w:val="dashed" w:sz="4" w:space="0" w:color="000000"/>
            </w:tcBorders>
            <w:shd w:val="clear" w:color="auto" w:fill="D9E1F2"/>
          </w:tcPr>
          <w:p w14:paraId="57FA73B4" w14:textId="513CC362"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241" w:type="dxa"/>
            <w:tcBorders>
              <w:top w:val="dashed" w:sz="4" w:space="0" w:color="000000"/>
              <w:left w:val="dashed" w:sz="4" w:space="0" w:color="000000"/>
              <w:bottom w:val="dashed" w:sz="4" w:space="0" w:color="000000"/>
              <w:right w:val="dashed" w:sz="4" w:space="0" w:color="000000"/>
            </w:tcBorders>
            <w:shd w:val="clear" w:color="auto" w:fill="D9E1F2"/>
          </w:tcPr>
          <w:p w14:paraId="3E35A937" w14:textId="20D1C3C9"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357" w:type="dxa"/>
            <w:tcBorders>
              <w:top w:val="dashed" w:sz="4" w:space="0" w:color="000000"/>
              <w:left w:val="dashed" w:sz="4" w:space="0" w:color="000000"/>
              <w:bottom w:val="dashed" w:sz="4" w:space="0" w:color="000000"/>
              <w:right w:val="dashed" w:sz="4" w:space="0" w:color="000000"/>
            </w:tcBorders>
            <w:shd w:val="clear" w:color="auto" w:fill="D9E1F2"/>
          </w:tcPr>
          <w:p w14:paraId="2BA9813E" w14:textId="2146F263" w:rsidR="00C46DA1" w:rsidRDefault="00C46DA1" w:rsidP="00C46DA1">
            <w:pPr>
              <w:spacing w:line="259" w:lineRule="auto"/>
              <w:ind w:right="61"/>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72" w:type="dxa"/>
            <w:tcBorders>
              <w:top w:val="dashed" w:sz="4" w:space="0" w:color="000000"/>
              <w:left w:val="dashed" w:sz="4" w:space="0" w:color="000000"/>
              <w:bottom w:val="dashed" w:sz="4" w:space="0" w:color="000000"/>
              <w:right w:val="dashed" w:sz="4" w:space="0" w:color="000000"/>
            </w:tcBorders>
            <w:shd w:val="clear" w:color="auto" w:fill="D9E1F2"/>
          </w:tcPr>
          <w:p w14:paraId="15AD37AB" w14:textId="28007AA0"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r>
      <w:tr w:rsidR="00C46DA1" w14:paraId="10593628" w14:textId="77777777" w:rsidTr="00C46DA1">
        <w:trPr>
          <w:trHeight w:val="1039"/>
        </w:trPr>
        <w:tc>
          <w:tcPr>
            <w:tcW w:w="1467" w:type="dxa"/>
            <w:tcBorders>
              <w:top w:val="dashed" w:sz="4" w:space="0" w:color="000000"/>
              <w:left w:val="dashed" w:sz="4" w:space="0" w:color="000000"/>
              <w:bottom w:val="dashed" w:sz="4" w:space="0" w:color="000000"/>
              <w:right w:val="dashed" w:sz="4" w:space="0" w:color="000000"/>
            </w:tcBorders>
          </w:tcPr>
          <w:p w14:paraId="193C26E7" w14:textId="123C37EF" w:rsidR="00C46DA1" w:rsidRDefault="00C46DA1" w:rsidP="00C46DA1">
            <w:pPr>
              <w:spacing w:line="259" w:lineRule="auto"/>
            </w:pPr>
            <w:r w:rsidRPr="008A7915">
              <w:rPr>
                <w:rFonts w:ascii="Arial" w:hAnsi="Arial" w:cs="Arial"/>
                <w:b/>
                <w:bCs/>
                <w:color w:val="FF0000"/>
              </w:rPr>
              <w:t xml:space="preserve">REDACTED TEXT under FOIA Section 43 </w:t>
            </w:r>
            <w:r w:rsidRPr="008A7915">
              <w:rPr>
                <w:rFonts w:ascii="Arial" w:hAnsi="Arial" w:cs="Arial"/>
                <w:b/>
                <w:bCs/>
                <w:color w:val="FF0000"/>
              </w:rPr>
              <w:lastRenderedPageBreak/>
              <w:t>Commercial Interests</w:t>
            </w:r>
            <w:r w:rsidRPr="008A7915">
              <w:rPr>
                <w:rFonts w:ascii="Arial" w:hAnsi="Arial" w:cs="Arial"/>
                <w:color w:val="FF0000"/>
              </w:rPr>
              <w:t>.</w:t>
            </w:r>
            <w:r w:rsidRPr="008A7915">
              <w:rPr>
                <w:rFonts w:ascii="Arial" w:hAnsi="Arial" w:cs="Arial"/>
                <w:color w:val="0B0C0C"/>
              </w:rPr>
              <w:t xml:space="preserve"> </w:t>
            </w:r>
          </w:p>
        </w:tc>
        <w:tc>
          <w:tcPr>
            <w:tcW w:w="1401" w:type="dxa"/>
            <w:tcBorders>
              <w:top w:val="dashed" w:sz="4" w:space="0" w:color="000000"/>
              <w:left w:val="dashed" w:sz="4" w:space="0" w:color="000000"/>
              <w:bottom w:val="dashed" w:sz="4" w:space="0" w:color="000000"/>
              <w:right w:val="dashed" w:sz="4" w:space="0" w:color="000000"/>
            </w:tcBorders>
          </w:tcPr>
          <w:p w14:paraId="33AD21DE" w14:textId="74794DE7" w:rsidR="00C46DA1" w:rsidRDefault="00C46DA1" w:rsidP="00C46DA1">
            <w:pPr>
              <w:spacing w:line="259" w:lineRule="auto"/>
              <w:ind w:right="63"/>
              <w:jc w:val="center"/>
            </w:pPr>
            <w:r w:rsidRPr="008A7915">
              <w:rPr>
                <w:rFonts w:ascii="Arial" w:hAnsi="Arial" w:cs="Arial"/>
                <w:b/>
                <w:bCs/>
                <w:color w:val="FF0000"/>
              </w:rPr>
              <w:lastRenderedPageBreak/>
              <w:t xml:space="preserve">REDACTED TEXT under FOIA Section 43 </w:t>
            </w:r>
            <w:r w:rsidRPr="008A7915">
              <w:rPr>
                <w:rFonts w:ascii="Arial" w:hAnsi="Arial" w:cs="Arial"/>
                <w:b/>
                <w:bCs/>
                <w:color w:val="FF0000"/>
              </w:rPr>
              <w:lastRenderedPageBreak/>
              <w:t>Commercial Interests</w:t>
            </w:r>
            <w:r w:rsidRPr="008A7915">
              <w:rPr>
                <w:rFonts w:ascii="Arial" w:hAnsi="Arial" w:cs="Arial"/>
                <w:color w:val="FF0000"/>
              </w:rPr>
              <w:t>.</w:t>
            </w:r>
            <w:r w:rsidRPr="008A7915">
              <w:rPr>
                <w:rFonts w:ascii="Arial" w:hAnsi="Arial" w:cs="Arial"/>
                <w:color w:val="0B0C0C"/>
              </w:rPr>
              <w:t xml:space="preserve"> </w:t>
            </w:r>
          </w:p>
        </w:tc>
        <w:tc>
          <w:tcPr>
            <w:tcW w:w="2410" w:type="dxa"/>
            <w:tcBorders>
              <w:top w:val="dashed" w:sz="4" w:space="0" w:color="000000"/>
              <w:left w:val="dashed" w:sz="4" w:space="0" w:color="000000"/>
              <w:bottom w:val="dashed" w:sz="4" w:space="0" w:color="000000"/>
              <w:right w:val="dashed" w:sz="4" w:space="0" w:color="000000"/>
            </w:tcBorders>
          </w:tcPr>
          <w:p w14:paraId="13F91319" w14:textId="2BB92561" w:rsidR="00C46DA1" w:rsidRDefault="00C46DA1" w:rsidP="00C46DA1">
            <w:pPr>
              <w:spacing w:line="259" w:lineRule="auto"/>
              <w:ind w:left="2" w:right="4"/>
            </w:pPr>
            <w:r w:rsidRPr="008A7915">
              <w:rPr>
                <w:rFonts w:ascii="Arial" w:hAnsi="Arial" w:cs="Arial"/>
                <w:b/>
                <w:bCs/>
                <w:color w:val="FF0000"/>
              </w:rPr>
              <w:lastRenderedPageBreak/>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241" w:type="dxa"/>
            <w:tcBorders>
              <w:top w:val="dashed" w:sz="4" w:space="0" w:color="000000"/>
              <w:left w:val="dashed" w:sz="4" w:space="0" w:color="000000"/>
              <w:bottom w:val="dashed" w:sz="4" w:space="0" w:color="000000"/>
              <w:right w:val="dashed" w:sz="4" w:space="0" w:color="000000"/>
            </w:tcBorders>
          </w:tcPr>
          <w:p w14:paraId="555E6A91" w14:textId="7474B3F1" w:rsidR="00C46DA1" w:rsidRDefault="00C46DA1" w:rsidP="00C46DA1">
            <w:pPr>
              <w:spacing w:line="259" w:lineRule="auto"/>
              <w:ind w:left="2"/>
            </w:pPr>
            <w:r w:rsidRPr="008A7915">
              <w:rPr>
                <w:rFonts w:ascii="Arial" w:hAnsi="Arial" w:cs="Arial"/>
                <w:b/>
                <w:bCs/>
                <w:color w:val="FF0000"/>
              </w:rPr>
              <w:t xml:space="preserve">REDACTED TEXT under FOIA Section 43 </w:t>
            </w:r>
            <w:r w:rsidRPr="008A7915">
              <w:rPr>
                <w:rFonts w:ascii="Arial" w:hAnsi="Arial" w:cs="Arial"/>
                <w:b/>
                <w:bCs/>
                <w:color w:val="FF0000"/>
              </w:rPr>
              <w:lastRenderedPageBreak/>
              <w:t>Commercial Interests</w:t>
            </w:r>
            <w:r w:rsidRPr="008A7915">
              <w:rPr>
                <w:rFonts w:ascii="Arial" w:hAnsi="Arial" w:cs="Arial"/>
                <w:color w:val="FF0000"/>
              </w:rPr>
              <w:t>.</w:t>
            </w:r>
            <w:r w:rsidRPr="008A7915">
              <w:rPr>
                <w:rFonts w:ascii="Arial" w:hAnsi="Arial" w:cs="Arial"/>
                <w:color w:val="0B0C0C"/>
              </w:rPr>
              <w:t xml:space="preserve"> </w:t>
            </w:r>
          </w:p>
        </w:tc>
        <w:tc>
          <w:tcPr>
            <w:tcW w:w="1357" w:type="dxa"/>
            <w:tcBorders>
              <w:top w:val="dashed" w:sz="4" w:space="0" w:color="000000"/>
              <w:left w:val="dashed" w:sz="4" w:space="0" w:color="000000"/>
              <w:bottom w:val="dashed" w:sz="4" w:space="0" w:color="000000"/>
              <w:right w:val="dashed" w:sz="4" w:space="0" w:color="000000"/>
            </w:tcBorders>
          </w:tcPr>
          <w:p w14:paraId="222B1744" w14:textId="1A1A647E" w:rsidR="00C46DA1" w:rsidRDefault="00C46DA1" w:rsidP="00C46DA1">
            <w:pPr>
              <w:spacing w:line="259" w:lineRule="auto"/>
              <w:ind w:right="61"/>
              <w:jc w:val="center"/>
            </w:pPr>
            <w:r w:rsidRPr="008A7915">
              <w:rPr>
                <w:rFonts w:ascii="Arial" w:hAnsi="Arial" w:cs="Arial"/>
                <w:b/>
                <w:bCs/>
                <w:color w:val="FF0000"/>
              </w:rPr>
              <w:lastRenderedPageBreak/>
              <w:t xml:space="preserve">REDACTED TEXT under FOIA Section 43 </w:t>
            </w:r>
            <w:r w:rsidRPr="008A7915">
              <w:rPr>
                <w:rFonts w:ascii="Arial" w:hAnsi="Arial" w:cs="Arial"/>
                <w:b/>
                <w:bCs/>
                <w:color w:val="FF0000"/>
              </w:rPr>
              <w:lastRenderedPageBreak/>
              <w:t>Commercial Interests</w:t>
            </w:r>
            <w:r w:rsidRPr="008A7915">
              <w:rPr>
                <w:rFonts w:ascii="Arial" w:hAnsi="Arial" w:cs="Arial"/>
                <w:color w:val="FF0000"/>
              </w:rPr>
              <w:t>.</w:t>
            </w:r>
            <w:r w:rsidRPr="008A7915">
              <w:rPr>
                <w:rFonts w:ascii="Arial" w:hAnsi="Arial" w:cs="Arial"/>
                <w:color w:val="0B0C0C"/>
              </w:rPr>
              <w:t xml:space="preserve"> </w:t>
            </w:r>
          </w:p>
        </w:tc>
        <w:tc>
          <w:tcPr>
            <w:tcW w:w="2472" w:type="dxa"/>
            <w:tcBorders>
              <w:top w:val="dashed" w:sz="4" w:space="0" w:color="000000"/>
              <w:left w:val="dashed" w:sz="4" w:space="0" w:color="000000"/>
              <w:bottom w:val="dashed" w:sz="4" w:space="0" w:color="000000"/>
              <w:right w:val="dashed" w:sz="4" w:space="0" w:color="000000"/>
            </w:tcBorders>
          </w:tcPr>
          <w:p w14:paraId="0A62EE36" w14:textId="35735C21" w:rsidR="00C46DA1" w:rsidRDefault="00C46DA1" w:rsidP="00C46DA1">
            <w:pPr>
              <w:spacing w:line="259" w:lineRule="auto"/>
              <w:ind w:left="2"/>
            </w:pPr>
            <w:r w:rsidRPr="008A7915">
              <w:rPr>
                <w:rFonts w:ascii="Arial" w:hAnsi="Arial" w:cs="Arial"/>
                <w:b/>
                <w:bCs/>
                <w:color w:val="FF0000"/>
              </w:rPr>
              <w:lastRenderedPageBreak/>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r>
      <w:tr w:rsidR="00C46DA1" w14:paraId="51684D9A" w14:textId="77777777" w:rsidTr="00C46DA1">
        <w:trPr>
          <w:trHeight w:val="748"/>
        </w:trPr>
        <w:tc>
          <w:tcPr>
            <w:tcW w:w="1467" w:type="dxa"/>
            <w:tcBorders>
              <w:top w:val="dashed" w:sz="4" w:space="0" w:color="000000"/>
              <w:left w:val="dashed" w:sz="4" w:space="0" w:color="000000"/>
              <w:bottom w:val="dashed" w:sz="4" w:space="0" w:color="000000"/>
              <w:right w:val="dashed" w:sz="4" w:space="0" w:color="000000"/>
            </w:tcBorders>
            <w:shd w:val="clear" w:color="auto" w:fill="D9E1F2"/>
          </w:tcPr>
          <w:p w14:paraId="497F5A46" w14:textId="01CD3523" w:rsidR="00C46DA1" w:rsidRDefault="00C46DA1" w:rsidP="00C46DA1">
            <w:pPr>
              <w:spacing w:line="259" w:lineRule="auto"/>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401" w:type="dxa"/>
            <w:tcBorders>
              <w:top w:val="dashed" w:sz="4" w:space="0" w:color="000000"/>
              <w:left w:val="dashed" w:sz="4" w:space="0" w:color="000000"/>
              <w:bottom w:val="dashed" w:sz="4" w:space="0" w:color="000000"/>
              <w:right w:val="dashed" w:sz="4" w:space="0" w:color="000000"/>
            </w:tcBorders>
            <w:shd w:val="clear" w:color="auto" w:fill="D9E1F2"/>
          </w:tcPr>
          <w:p w14:paraId="35B6FCAF" w14:textId="001F1B11" w:rsidR="00C46DA1" w:rsidRDefault="00C46DA1" w:rsidP="00C46DA1">
            <w:pPr>
              <w:spacing w:line="259" w:lineRule="auto"/>
              <w:ind w:right="63"/>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10" w:type="dxa"/>
            <w:tcBorders>
              <w:top w:val="dashed" w:sz="4" w:space="0" w:color="000000"/>
              <w:left w:val="dashed" w:sz="4" w:space="0" w:color="000000"/>
              <w:bottom w:val="dashed" w:sz="4" w:space="0" w:color="000000"/>
              <w:right w:val="dashed" w:sz="4" w:space="0" w:color="000000"/>
            </w:tcBorders>
            <w:shd w:val="clear" w:color="auto" w:fill="D9E1F2"/>
          </w:tcPr>
          <w:p w14:paraId="48088377" w14:textId="238F1E82"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241" w:type="dxa"/>
            <w:tcBorders>
              <w:top w:val="dashed" w:sz="4" w:space="0" w:color="000000"/>
              <w:left w:val="dashed" w:sz="4" w:space="0" w:color="000000"/>
              <w:bottom w:val="dashed" w:sz="4" w:space="0" w:color="000000"/>
              <w:right w:val="dashed" w:sz="4" w:space="0" w:color="000000"/>
            </w:tcBorders>
            <w:shd w:val="clear" w:color="auto" w:fill="D9E1F2"/>
          </w:tcPr>
          <w:p w14:paraId="09A8476C" w14:textId="6AE31430"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357" w:type="dxa"/>
            <w:tcBorders>
              <w:top w:val="dashed" w:sz="4" w:space="0" w:color="000000"/>
              <w:left w:val="dashed" w:sz="4" w:space="0" w:color="000000"/>
              <w:bottom w:val="dashed" w:sz="4" w:space="0" w:color="000000"/>
              <w:right w:val="dashed" w:sz="4" w:space="0" w:color="000000"/>
            </w:tcBorders>
            <w:shd w:val="clear" w:color="auto" w:fill="D9E1F2"/>
          </w:tcPr>
          <w:p w14:paraId="17C8AFE3" w14:textId="3DF799E0" w:rsidR="00C46DA1" w:rsidRDefault="00C46DA1" w:rsidP="00C46DA1">
            <w:pPr>
              <w:spacing w:line="259" w:lineRule="auto"/>
              <w:ind w:right="61"/>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72" w:type="dxa"/>
            <w:tcBorders>
              <w:top w:val="dashed" w:sz="4" w:space="0" w:color="000000"/>
              <w:left w:val="dashed" w:sz="4" w:space="0" w:color="000000"/>
              <w:bottom w:val="dashed" w:sz="4" w:space="0" w:color="000000"/>
              <w:right w:val="dashed" w:sz="4" w:space="0" w:color="000000"/>
            </w:tcBorders>
            <w:shd w:val="clear" w:color="auto" w:fill="D9E1F2"/>
          </w:tcPr>
          <w:p w14:paraId="09104D0B" w14:textId="5B784F5C"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r>
      <w:tr w:rsidR="00C46DA1" w14:paraId="49B761AA" w14:textId="77777777" w:rsidTr="00C46DA1">
        <w:trPr>
          <w:trHeight w:val="1031"/>
        </w:trPr>
        <w:tc>
          <w:tcPr>
            <w:tcW w:w="1467" w:type="dxa"/>
            <w:tcBorders>
              <w:top w:val="nil"/>
              <w:left w:val="dashed" w:sz="4" w:space="0" w:color="000000"/>
              <w:bottom w:val="dashed" w:sz="4" w:space="0" w:color="000000"/>
              <w:right w:val="dashed" w:sz="4" w:space="0" w:color="000000"/>
            </w:tcBorders>
          </w:tcPr>
          <w:p w14:paraId="2975E609" w14:textId="0CED7133" w:rsidR="00C46DA1" w:rsidRDefault="00C46DA1" w:rsidP="00C46DA1">
            <w:pPr>
              <w:spacing w:line="259" w:lineRule="auto"/>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401" w:type="dxa"/>
            <w:tcBorders>
              <w:top w:val="nil"/>
              <w:left w:val="dashed" w:sz="4" w:space="0" w:color="000000"/>
              <w:bottom w:val="dashed" w:sz="4" w:space="0" w:color="000000"/>
              <w:right w:val="dashed" w:sz="4" w:space="0" w:color="000000"/>
            </w:tcBorders>
          </w:tcPr>
          <w:p w14:paraId="2B06BFFC" w14:textId="659EC2C6" w:rsidR="00C46DA1" w:rsidRDefault="00C46DA1" w:rsidP="00C46DA1">
            <w:pPr>
              <w:spacing w:line="259" w:lineRule="auto"/>
              <w:ind w:right="62"/>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10" w:type="dxa"/>
            <w:tcBorders>
              <w:top w:val="nil"/>
              <w:left w:val="dashed" w:sz="4" w:space="0" w:color="000000"/>
              <w:bottom w:val="dashed" w:sz="4" w:space="0" w:color="000000"/>
              <w:right w:val="dashed" w:sz="4" w:space="0" w:color="000000"/>
            </w:tcBorders>
          </w:tcPr>
          <w:p w14:paraId="3D0002C9" w14:textId="3894D0FD"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241" w:type="dxa"/>
            <w:tcBorders>
              <w:top w:val="nil"/>
              <w:left w:val="dashed" w:sz="4" w:space="0" w:color="000000"/>
              <w:bottom w:val="dashed" w:sz="4" w:space="0" w:color="000000"/>
              <w:right w:val="dashed" w:sz="4" w:space="0" w:color="000000"/>
            </w:tcBorders>
          </w:tcPr>
          <w:p w14:paraId="4477A380" w14:textId="69A8819C"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357" w:type="dxa"/>
            <w:tcBorders>
              <w:top w:val="nil"/>
              <w:left w:val="dashed" w:sz="4" w:space="0" w:color="000000"/>
              <w:bottom w:val="dashed" w:sz="4" w:space="0" w:color="000000"/>
              <w:right w:val="dashed" w:sz="4" w:space="0" w:color="000000"/>
            </w:tcBorders>
          </w:tcPr>
          <w:p w14:paraId="3CC82E1B" w14:textId="7B2164BD" w:rsidR="00C46DA1" w:rsidRDefault="00C46DA1" w:rsidP="00C46DA1">
            <w:pPr>
              <w:spacing w:line="259" w:lineRule="auto"/>
              <w:ind w:right="60"/>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72" w:type="dxa"/>
            <w:tcBorders>
              <w:top w:val="nil"/>
              <w:left w:val="dashed" w:sz="4" w:space="0" w:color="000000"/>
              <w:bottom w:val="dashed" w:sz="4" w:space="0" w:color="000000"/>
              <w:right w:val="dashed" w:sz="4" w:space="0" w:color="000000"/>
            </w:tcBorders>
          </w:tcPr>
          <w:p w14:paraId="47776054" w14:textId="7D0F9663"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r>
      <w:tr w:rsidR="00C46DA1" w14:paraId="4FF7B6E3" w14:textId="77777777" w:rsidTr="00C46DA1">
        <w:trPr>
          <w:trHeight w:val="749"/>
        </w:trPr>
        <w:tc>
          <w:tcPr>
            <w:tcW w:w="1467" w:type="dxa"/>
            <w:tcBorders>
              <w:top w:val="dashed" w:sz="4" w:space="0" w:color="000000"/>
              <w:left w:val="dashed" w:sz="4" w:space="0" w:color="000000"/>
              <w:bottom w:val="dashed" w:sz="4" w:space="0" w:color="000000"/>
              <w:right w:val="dashed" w:sz="4" w:space="0" w:color="000000"/>
            </w:tcBorders>
            <w:shd w:val="clear" w:color="auto" w:fill="D9E1F2"/>
          </w:tcPr>
          <w:p w14:paraId="1B2A86DC" w14:textId="3702B88E" w:rsidR="00C46DA1" w:rsidRDefault="00C46DA1" w:rsidP="00C46DA1">
            <w:pPr>
              <w:spacing w:line="259" w:lineRule="auto"/>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401" w:type="dxa"/>
            <w:tcBorders>
              <w:top w:val="dashed" w:sz="4" w:space="0" w:color="000000"/>
              <w:left w:val="dashed" w:sz="4" w:space="0" w:color="000000"/>
              <w:bottom w:val="dashed" w:sz="4" w:space="0" w:color="000000"/>
              <w:right w:val="dashed" w:sz="4" w:space="0" w:color="000000"/>
            </w:tcBorders>
            <w:shd w:val="clear" w:color="auto" w:fill="D9E1F2"/>
          </w:tcPr>
          <w:p w14:paraId="49846011" w14:textId="082963FF" w:rsidR="00C46DA1" w:rsidRDefault="00C46DA1" w:rsidP="00C46DA1">
            <w:pPr>
              <w:spacing w:line="259" w:lineRule="auto"/>
              <w:ind w:right="62"/>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10" w:type="dxa"/>
            <w:tcBorders>
              <w:top w:val="dashed" w:sz="4" w:space="0" w:color="000000"/>
              <w:left w:val="dashed" w:sz="4" w:space="0" w:color="000000"/>
              <w:bottom w:val="dashed" w:sz="4" w:space="0" w:color="000000"/>
              <w:right w:val="dashed" w:sz="4" w:space="0" w:color="000000"/>
            </w:tcBorders>
            <w:shd w:val="clear" w:color="auto" w:fill="D9E1F2"/>
          </w:tcPr>
          <w:p w14:paraId="76664437" w14:textId="7CA6A471"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241" w:type="dxa"/>
            <w:tcBorders>
              <w:top w:val="dashed" w:sz="4" w:space="0" w:color="000000"/>
              <w:left w:val="dashed" w:sz="4" w:space="0" w:color="000000"/>
              <w:bottom w:val="dashed" w:sz="4" w:space="0" w:color="000000"/>
              <w:right w:val="dashed" w:sz="4" w:space="0" w:color="000000"/>
            </w:tcBorders>
            <w:shd w:val="clear" w:color="auto" w:fill="D9E1F2"/>
          </w:tcPr>
          <w:p w14:paraId="4C53DC3A" w14:textId="7521DABB"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357" w:type="dxa"/>
            <w:tcBorders>
              <w:top w:val="dashed" w:sz="4" w:space="0" w:color="000000"/>
              <w:left w:val="dashed" w:sz="4" w:space="0" w:color="000000"/>
              <w:bottom w:val="dashed" w:sz="4" w:space="0" w:color="000000"/>
              <w:right w:val="dashed" w:sz="4" w:space="0" w:color="000000"/>
            </w:tcBorders>
            <w:shd w:val="clear" w:color="auto" w:fill="D9E1F2"/>
          </w:tcPr>
          <w:p w14:paraId="48348CCA" w14:textId="0C87B11A" w:rsidR="00C46DA1" w:rsidRDefault="00C46DA1" w:rsidP="00C46DA1">
            <w:pPr>
              <w:spacing w:line="259" w:lineRule="auto"/>
              <w:ind w:right="60"/>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72" w:type="dxa"/>
            <w:tcBorders>
              <w:top w:val="dashed" w:sz="4" w:space="0" w:color="000000"/>
              <w:left w:val="dashed" w:sz="4" w:space="0" w:color="000000"/>
              <w:bottom w:val="dashed" w:sz="4" w:space="0" w:color="000000"/>
              <w:right w:val="dashed" w:sz="4" w:space="0" w:color="000000"/>
            </w:tcBorders>
            <w:shd w:val="clear" w:color="auto" w:fill="D9E1F2"/>
          </w:tcPr>
          <w:p w14:paraId="2309F48E" w14:textId="32D208AA"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r>
      <w:tr w:rsidR="00C46DA1" w14:paraId="78481EB1" w14:textId="77777777" w:rsidTr="00C46DA1">
        <w:trPr>
          <w:trHeight w:val="1037"/>
        </w:trPr>
        <w:tc>
          <w:tcPr>
            <w:tcW w:w="1467" w:type="dxa"/>
            <w:tcBorders>
              <w:top w:val="dashed" w:sz="4" w:space="0" w:color="000000"/>
              <w:left w:val="dashed" w:sz="4" w:space="0" w:color="000000"/>
              <w:bottom w:val="dashed" w:sz="4" w:space="0" w:color="000000"/>
              <w:right w:val="dashed" w:sz="4" w:space="0" w:color="000000"/>
            </w:tcBorders>
          </w:tcPr>
          <w:p w14:paraId="4D437778" w14:textId="01B1644B" w:rsidR="00C46DA1" w:rsidRDefault="00C46DA1" w:rsidP="00C46DA1">
            <w:pPr>
              <w:spacing w:line="259" w:lineRule="auto"/>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401" w:type="dxa"/>
            <w:tcBorders>
              <w:top w:val="dashed" w:sz="4" w:space="0" w:color="000000"/>
              <w:left w:val="dashed" w:sz="4" w:space="0" w:color="000000"/>
              <w:bottom w:val="dashed" w:sz="4" w:space="0" w:color="000000"/>
              <w:right w:val="dashed" w:sz="4" w:space="0" w:color="000000"/>
            </w:tcBorders>
          </w:tcPr>
          <w:p w14:paraId="304B01F9" w14:textId="61D30552" w:rsidR="00C46DA1" w:rsidRDefault="00C46DA1" w:rsidP="00C46DA1">
            <w:pPr>
              <w:spacing w:line="259" w:lineRule="auto"/>
              <w:ind w:right="62"/>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10" w:type="dxa"/>
            <w:tcBorders>
              <w:top w:val="dashed" w:sz="4" w:space="0" w:color="000000"/>
              <w:left w:val="dashed" w:sz="4" w:space="0" w:color="000000"/>
              <w:bottom w:val="dashed" w:sz="4" w:space="0" w:color="000000"/>
              <w:right w:val="dashed" w:sz="4" w:space="0" w:color="000000"/>
            </w:tcBorders>
          </w:tcPr>
          <w:p w14:paraId="48977CF5" w14:textId="25E2C2D0"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241" w:type="dxa"/>
            <w:tcBorders>
              <w:top w:val="dashed" w:sz="4" w:space="0" w:color="000000"/>
              <w:left w:val="dashed" w:sz="4" w:space="0" w:color="000000"/>
              <w:bottom w:val="dashed" w:sz="4" w:space="0" w:color="000000"/>
              <w:right w:val="dashed" w:sz="4" w:space="0" w:color="000000"/>
            </w:tcBorders>
          </w:tcPr>
          <w:p w14:paraId="76A19220" w14:textId="2A0D6351"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357" w:type="dxa"/>
            <w:tcBorders>
              <w:top w:val="dashed" w:sz="4" w:space="0" w:color="000000"/>
              <w:left w:val="dashed" w:sz="4" w:space="0" w:color="000000"/>
              <w:bottom w:val="dashed" w:sz="4" w:space="0" w:color="000000"/>
              <w:right w:val="dashed" w:sz="4" w:space="0" w:color="000000"/>
            </w:tcBorders>
          </w:tcPr>
          <w:p w14:paraId="2F6FCEA3" w14:textId="7C73E415" w:rsidR="00C46DA1" w:rsidRDefault="00C46DA1" w:rsidP="00C46DA1">
            <w:pPr>
              <w:spacing w:line="259" w:lineRule="auto"/>
              <w:ind w:right="57"/>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72" w:type="dxa"/>
            <w:tcBorders>
              <w:top w:val="dashed" w:sz="4" w:space="0" w:color="000000"/>
              <w:left w:val="dashed" w:sz="4" w:space="0" w:color="000000"/>
              <w:bottom w:val="dashed" w:sz="4" w:space="0" w:color="000000"/>
              <w:right w:val="dashed" w:sz="4" w:space="0" w:color="000000"/>
            </w:tcBorders>
          </w:tcPr>
          <w:p w14:paraId="6F57042D" w14:textId="12D9C04E"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r>
      <w:tr w:rsidR="00C46DA1" w14:paraId="7216C655" w14:textId="77777777" w:rsidTr="00C46DA1">
        <w:trPr>
          <w:trHeight w:val="1035"/>
        </w:trPr>
        <w:tc>
          <w:tcPr>
            <w:tcW w:w="1467" w:type="dxa"/>
            <w:tcBorders>
              <w:top w:val="dashed" w:sz="4" w:space="0" w:color="000000"/>
              <w:left w:val="dashed" w:sz="4" w:space="0" w:color="000000"/>
              <w:bottom w:val="dashed" w:sz="4" w:space="0" w:color="000000"/>
              <w:right w:val="dashed" w:sz="4" w:space="0" w:color="000000"/>
            </w:tcBorders>
            <w:shd w:val="clear" w:color="auto" w:fill="D9E1F2"/>
          </w:tcPr>
          <w:p w14:paraId="4FDC0E46" w14:textId="6590D628" w:rsidR="00C46DA1" w:rsidRDefault="00C46DA1" w:rsidP="00C46DA1">
            <w:pPr>
              <w:spacing w:line="259" w:lineRule="auto"/>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401" w:type="dxa"/>
            <w:tcBorders>
              <w:top w:val="dashed" w:sz="4" w:space="0" w:color="000000"/>
              <w:left w:val="dashed" w:sz="4" w:space="0" w:color="000000"/>
              <w:bottom w:val="dashed" w:sz="4" w:space="0" w:color="000000"/>
              <w:right w:val="dashed" w:sz="4" w:space="0" w:color="000000"/>
            </w:tcBorders>
            <w:shd w:val="clear" w:color="auto" w:fill="D9E1F2"/>
          </w:tcPr>
          <w:p w14:paraId="481C7F54" w14:textId="07B25E4C" w:rsidR="00C46DA1" w:rsidRDefault="00C46DA1" w:rsidP="00C46DA1">
            <w:pPr>
              <w:spacing w:line="259" w:lineRule="auto"/>
              <w:ind w:right="62"/>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10" w:type="dxa"/>
            <w:tcBorders>
              <w:top w:val="dashed" w:sz="4" w:space="0" w:color="000000"/>
              <w:left w:val="dashed" w:sz="4" w:space="0" w:color="000000"/>
              <w:bottom w:val="dashed" w:sz="4" w:space="0" w:color="000000"/>
              <w:right w:val="dashed" w:sz="4" w:space="0" w:color="000000"/>
            </w:tcBorders>
            <w:shd w:val="clear" w:color="auto" w:fill="D9E1F2"/>
          </w:tcPr>
          <w:p w14:paraId="084D8293" w14:textId="67FA1126"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241" w:type="dxa"/>
            <w:tcBorders>
              <w:top w:val="dashed" w:sz="4" w:space="0" w:color="000000"/>
              <w:left w:val="dashed" w:sz="4" w:space="0" w:color="000000"/>
              <w:bottom w:val="dashed" w:sz="4" w:space="0" w:color="000000"/>
              <w:right w:val="dashed" w:sz="4" w:space="0" w:color="000000"/>
            </w:tcBorders>
            <w:shd w:val="clear" w:color="auto" w:fill="D9E1F2"/>
          </w:tcPr>
          <w:p w14:paraId="2096F8B4" w14:textId="6ADA1750"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357" w:type="dxa"/>
            <w:tcBorders>
              <w:top w:val="dashed" w:sz="4" w:space="0" w:color="000000"/>
              <w:left w:val="dashed" w:sz="4" w:space="0" w:color="000000"/>
              <w:bottom w:val="dashed" w:sz="4" w:space="0" w:color="000000"/>
              <w:right w:val="dashed" w:sz="4" w:space="0" w:color="000000"/>
            </w:tcBorders>
            <w:shd w:val="clear" w:color="auto" w:fill="D9E1F2"/>
          </w:tcPr>
          <w:p w14:paraId="5ACFC6D0" w14:textId="34C3B59E" w:rsidR="00C46DA1" w:rsidRDefault="00C46DA1" w:rsidP="00C46DA1">
            <w:pPr>
              <w:spacing w:line="259" w:lineRule="auto"/>
              <w:ind w:right="57"/>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72" w:type="dxa"/>
            <w:tcBorders>
              <w:top w:val="dashed" w:sz="4" w:space="0" w:color="000000"/>
              <w:left w:val="dashed" w:sz="4" w:space="0" w:color="000000"/>
              <w:bottom w:val="dashed" w:sz="4" w:space="0" w:color="000000"/>
              <w:right w:val="dashed" w:sz="4" w:space="0" w:color="000000"/>
            </w:tcBorders>
            <w:shd w:val="clear" w:color="auto" w:fill="D9E1F2"/>
          </w:tcPr>
          <w:p w14:paraId="700B06F5" w14:textId="64AAAF1E"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r>
      <w:tr w:rsidR="00C46DA1" w14:paraId="31063F44" w14:textId="77777777" w:rsidTr="00C46DA1">
        <w:trPr>
          <w:trHeight w:val="1121"/>
        </w:trPr>
        <w:tc>
          <w:tcPr>
            <w:tcW w:w="1467" w:type="dxa"/>
            <w:tcBorders>
              <w:top w:val="dashed" w:sz="4" w:space="0" w:color="000000"/>
              <w:left w:val="dashed" w:sz="4" w:space="0" w:color="000000"/>
              <w:bottom w:val="dashed" w:sz="4" w:space="0" w:color="000000"/>
              <w:right w:val="dashed" w:sz="4" w:space="0" w:color="000000"/>
            </w:tcBorders>
          </w:tcPr>
          <w:p w14:paraId="79D853EE" w14:textId="19092F04" w:rsidR="00C46DA1" w:rsidRDefault="00C46DA1" w:rsidP="00C46DA1">
            <w:pPr>
              <w:spacing w:line="259" w:lineRule="auto"/>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401" w:type="dxa"/>
            <w:tcBorders>
              <w:top w:val="dashed" w:sz="4" w:space="0" w:color="000000"/>
              <w:left w:val="dashed" w:sz="4" w:space="0" w:color="000000"/>
              <w:bottom w:val="dashed" w:sz="4" w:space="0" w:color="000000"/>
              <w:right w:val="dashed" w:sz="4" w:space="0" w:color="000000"/>
            </w:tcBorders>
          </w:tcPr>
          <w:p w14:paraId="7B18BFE7" w14:textId="604AE214" w:rsidR="00C46DA1" w:rsidRDefault="00C46DA1" w:rsidP="00C46DA1">
            <w:pPr>
              <w:spacing w:line="259" w:lineRule="auto"/>
              <w:ind w:right="62"/>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10" w:type="dxa"/>
            <w:tcBorders>
              <w:top w:val="dashed" w:sz="4" w:space="0" w:color="000000"/>
              <w:left w:val="dashed" w:sz="4" w:space="0" w:color="000000"/>
              <w:bottom w:val="dashed" w:sz="4" w:space="0" w:color="000000"/>
              <w:right w:val="dashed" w:sz="4" w:space="0" w:color="000000"/>
            </w:tcBorders>
          </w:tcPr>
          <w:p w14:paraId="7F86F73A" w14:textId="27398C22"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241" w:type="dxa"/>
            <w:tcBorders>
              <w:top w:val="dashed" w:sz="4" w:space="0" w:color="000000"/>
              <w:left w:val="dashed" w:sz="4" w:space="0" w:color="000000"/>
              <w:bottom w:val="dashed" w:sz="4" w:space="0" w:color="000000"/>
              <w:right w:val="dashed" w:sz="4" w:space="0" w:color="000000"/>
            </w:tcBorders>
          </w:tcPr>
          <w:p w14:paraId="77C76514" w14:textId="3A491684"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357" w:type="dxa"/>
            <w:tcBorders>
              <w:top w:val="dashed" w:sz="4" w:space="0" w:color="000000"/>
              <w:left w:val="dashed" w:sz="4" w:space="0" w:color="000000"/>
              <w:bottom w:val="dashed" w:sz="4" w:space="0" w:color="000000"/>
              <w:right w:val="dashed" w:sz="4" w:space="0" w:color="000000"/>
            </w:tcBorders>
          </w:tcPr>
          <w:p w14:paraId="377D9798" w14:textId="55FA5D00" w:rsidR="00C46DA1" w:rsidRDefault="00C46DA1" w:rsidP="00C46DA1">
            <w:pPr>
              <w:spacing w:line="259" w:lineRule="auto"/>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72" w:type="dxa"/>
            <w:tcBorders>
              <w:top w:val="dashed" w:sz="4" w:space="0" w:color="000000"/>
              <w:left w:val="dashed" w:sz="4" w:space="0" w:color="000000"/>
              <w:bottom w:val="dashed" w:sz="4" w:space="0" w:color="000000"/>
              <w:right w:val="dashed" w:sz="4" w:space="0" w:color="000000"/>
            </w:tcBorders>
          </w:tcPr>
          <w:p w14:paraId="682D6846" w14:textId="22A558DC"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r>
      <w:tr w:rsidR="00C46DA1" w14:paraId="0167E347" w14:textId="77777777" w:rsidTr="00C46DA1">
        <w:trPr>
          <w:trHeight w:val="1118"/>
        </w:trPr>
        <w:tc>
          <w:tcPr>
            <w:tcW w:w="1467" w:type="dxa"/>
            <w:tcBorders>
              <w:top w:val="dashed" w:sz="4" w:space="0" w:color="000000"/>
              <w:left w:val="dashed" w:sz="4" w:space="0" w:color="000000"/>
              <w:bottom w:val="dashed" w:sz="4" w:space="0" w:color="000000"/>
              <w:right w:val="dashed" w:sz="4" w:space="0" w:color="000000"/>
            </w:tcBorders>
            <w:shd w:val="clear" w:color="auto" w:fill="D9E1F2"/>
          </w:tcPr>
          <w:p w14:paraId="15E28688" w14:textId="6A3B9EDD" w:rsidR="00C46DA1" w:rsidRDefault="00C46DA1" w:rsidP="00C46DA1">
            <w:pPr>
              <w:spacing w:line="259" w:lineRule="auto"/>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401" w:type="dxa"/>
            <w:tcBorders>
              <w:top w:val="dashed" w:sz="4" w:space="0" w:color="000000"/>
              <w:left w:val="dashed" w:sz="4" w:space="0" w:color="000000"/>
              <w:bottom w:val="dashed" w:sz="4" w:space="0" w:color="000000"/>
              <w:right w:val="dashed" w:sz="4" w:space="0" w:color="000000"/>
            </w:tcBorders>
            <w:shd w:val="clear" w:color="auto" w:fill="D9E1F2"/>
          </w:tcPr>
          <w:p w14:paraId="2E4FD3AB" w14:textId="500F320B" w:rsidR="00C46DA1" w:rsidRDefault="00C46DA1" w:rsidP="00C46DA1">
            <w:pPr>
              <w:spacing w:line="259" w:lineRule="auto"/>
              <w:ind w:right="62"/>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10" w:type="dxa"/>
            <w:tcBorders>
              <w:top w:val="dashed" w:sz="4" w:space="0" w:color="000000"/>
              <w:left w:val="dashed" w:sz="4" w:space="0" w:color="000000"/>
              <w:bottom w:val="dashed" w:sz="4" w:space="0" w:color="000000"/>
              <w:right w:val="dashed" w:sz="4" w:space="0" w:color="000000"/>
            </w:tcBorders>
            <w:shd w:val="clear" w:color="auto" w:fill="D9E1F2"/>
          </w:tcPr>
          <w:p w14:paraId="47780CCE" w14:textId="568605AE"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241" w:type="dxa"/>
            <w:tcBorders>
              <w:top w:val="dashed" w:sz="4" w:space="0" w:color="000000"/>
              <w:left w:val="dashed" w:sz="4" w:space="0" w:color="000000"/>
              <w:bottom w:val="dashed" w:sz="4" w:space="0" w:color="000000"/>
              <w:right w:val="dashed" w:sz="4" w:space="0" w:color="000000"/>
            </w:tcBorders>
            <w:shd w:val="clear" w:color="auto" w:fill="D9E1F2"/>
          </w:tcPr>
          <w:p w14:paraId="639011D3" w14:textId="70AB9EFE"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357" w:type="dxa"/>
            <w:tcBorders>
              <w:top w:val="dashed" w:sz="4" w:space="0" w:color="000000"/>
              <w:left w:val="dashed" w:sz="4" w:space="0" w:color="000000"/>
              <w:bottom w:val="dashed" w:sz="4" w:space="0" w:color="000000"/>
              <w:right w:val="dashed" w:sz="4" w:space="0" w:color="000000"/>
            </w:tcBorders>
            <w:shd w:val="clear" w:color="auto" w:fill="D9E1F2"/>
          </w:tcPr>
          <w:p w14:paraId="2908C770" w14:textId="1194CBEE" w:rsidR="00C46DA1" w:rsidRDefault="00C46DA1" w:rsidP="00C46DA1">
            <w:pPr>
              <w:spacing w:line="259" w:lineRule="auto"/>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72" w:type="dxa"/>
            <w:tcBorders>
              <w:top w:val="dashed" w:sz="4" w:space="0" w:color="000000"/>
              <w:left w:val="dashed" w:sz="4" w:space="0" w:color="000000"/>
              <w:bottom w:val="dashed" w:sz="4" w:space="0" w:color="000000"/>
              <w:right w:val="dashed" w:sz="4" w:space="0" w:color="000000"/>
            </w:tcBorders>
            <w:shd w:val="clear" w:color="auto" w:fill="D9E1F2"/>
          </w:tcPr>
          <w:p w14:paraId="50D7C9DC" w14:textId="3185F5B8"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r>
      <w:tr w:rsidR="00C46DA1" w14:paraId="6AFA294E" w14:textId="77777777" w:rsidTr="00C46DA1">
        <w:trPr>
          <w:trHeight w:val="1037"/>
        </w:trPr>
        <w:tc>
          <w:tcPr>
            <w:tcW w:w="1467" w:type="dxa"/>
            <w:tcBorders>
              <w:top w:val="dashed" w:sz="4" w:space="0" w:color="000000"/>
              <w:left w:val="dashed" w:sz="4" w:space="0" w:color="000000"/>
              <w:bottom w:val="dashed" w:sz="4" w:space="0" w:color="000000"/>
              <w:right w:val="dashed" w:sz="4" w:space="0" w:color="000000"/>
            </w:tcBorders>
          </w:tcPr>
          <w:p w14:paraId="4A7E22C6" w14:textId="1F750BE2" w:rsidR="00C46DA1" w:rsidRDefault="00C46DA1" w:rsidP="00C46DA1">
            <w:pPr>
              <w:spacing w:line="259" w:lineRule="auto"/>
            </w:pPr>
            <w:r w:rsidRPr="008A7915">
              <w:rPr>
                <w:rFonts w:ascii="Arial" w:hAnsi="Arial" w:cs="Arial"/>
                <w:b/>
                <w:bCs/>
                <w:color w:val="FF0000"/>
              </w:rPr>
              <w:lastRenderedPageBreak/>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401" w:type="dxa"/>
            <w:tcBorders>
              <w:top w:val="dashed" w:sz="4" w:space="0" w:color="000000"/>
              <w:left w:val="dashed" w:sz="4" w:space="0" w:color="000000"/>
              <w:bottom w:val="dashed" w:sz="4" w:space="0" w:color="000000"/>
              <w:right w:val="dashed" w:sz="4" w:space="0" w:color="000000"/>
            </w:tcBorders>
          </w:tcPr>
          <w:p w14:paraId="6408D3AA" w14:textId="78AD4234" w:rsidR="00C46DA1" w:rsidRDefault="00C46DA1" w:rsidP="00C46DA1">
            <w:pPr>
              <w:spacing w:line="259" w:lineRule="auto"/>
              <w:ind w:right="64"/>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10" w:type="dxa"/>
            <w:tcBorders>
              <w:top w:val="dashed" w:sz="4" w:space="0" w:color="000000"/>
              <w:left w:val="dashed" w:sz="4" w:space="0" w:color="000000"/>
              <w:bottom w:val="dashed" w:sz="4" w:space="0" w:color="000000"/>
              <w:right w:val="dashed" w:sz="4" w:space="0" w:color="000000"/>
            </w:tcBorders>
          </w:tcPr>
          <w:p w14:paraId="41AD1F16" w14:textId="5C2080D3"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241" w:type="dxa"/>
            <w:tcBorders>
              <w:top w:val="dashed" w:sz="4" w:space="0" w:color="000000"/>
              <w:left w:val="dashed" w:sz="4" w:space="0" w:color="000000"/>
              <w:bottom w:val="dashed" w:sz="4" w:space="0" w:color="000000"/>
              <w:right w:val="dashed" w:sz="4" w:space="0" w:color="000000"/>
            </w:tcBorders>
          </w:tcPr>
          <w:p w14:paraId="298E7246" w14:textId="1C5464CC"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357" w:type="dxa"/>
            <w:tcBorders>
              <w:top w:val="dashed" w:sz="4" w:space="0" w:color="000000"/>
              <w:left w:val="dashed" w:sz="4" w:space="0" w:color="000000"/>
              <w:bottom w:val="dashed" w:sz="4" w:space="0" w:color="000000"/>
              <w:right w:val="dashed" w:sz="4" w:space="0" w:color="000000"/>
            </w:tcBorders>
          </w:tcPr>
          <w:p w14:paraId="58C2B4C1" w14:textId="44DBB087" w:rsidR="00C46DA1" w:rsidRDefault="00C46DA1" w:rsidP="00C46DA1">
            <w:pPr>
              <w:spacing w:line="259" w:lineRule="auto"/>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72" w:type="dxa"/>
            <w:tcBorders>
              <w:top w:val="dashed" w:sz="4" w:space="0" w:color="000000"/>
              <w:left w:val="dashed" w:sz="4" w:space="0" w:color="000000"/>
              <w:bottom w:val="dashed" w:sz="4" w:space="0" w:color="000000"/>
              <w:right w:val="dashed" w:sz="4" w:space="0" w:color="000000"/>
            </w:tcBorders>
          </w:tcPr>
          <w:p w14:paraId="409D3B56" w14:textId="0BB326D6"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r>
      <w:tr w:rsidR="00C46DA1" w14:paraId="20AADC28" w14:textId="77777777" w:rsidTr="00C46DA1">
        <w:trPr>
          <w:trHeight w:val="1034"/>
        </w:trPr>
        <w:tc>
          <w:tcPr>
            <w:tcW w:w="1467" w:type="dxa"/>
            <w:tcBorders>
              <w:top w:val="dashed" w:sz="4" w:space="0" w:color="000000"/>
              <w:left w:val="dashed" w:sz="4" w:space="0" w:color="000000"/>
              <w:bottom w:val="dashed" w:sz="4" w:space="0" w:color="000000"/>
              <w:right w:val="dashed" w:sz="4" w:space="0" w:color="000000"/>
            </w:tcBorders>
            <w:shd w:val="clear" w:color="auto" w:fill="D9E1F2"/>
          </w:tcPr>
          <w:p w14:paraId="36CAC861" w14:textId="36AC4306" w:rsidR="00C46DA1" w:rsidRDefault="00C46DA1" w:rsidP="00C46DA1">
            <w:pPr>
              <w:spacing w:line="259" w:lineRule="auto"/>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401" w:type="dxa"/>
            <w:tcBorders>
              <w:top w:val="dashed" w:sz="4" w:space="0" w:color="000000"/>
              <w:left w:val="dashed" w:sz="4" w:space="0" w:color="000000"/>
              <w:bottom w:val="dashed" w:sz="4" w:space="0" w:color="000000"/>
              <w:right w:val="dashed" w:sz="4" w:space="0" w:color="000000"/>
            </w:tcBorders>
            <w:shd w:val="clear" w:color="auto" w:fill="D9E1F2"/>
          </w:tcPr>
          <w:p w14:paraId="1C760815" w14:textId="6E918654" w:rsidR="00C46DA1" w:rsidRDefault="00C46DA1" w:rsidP="00C46DA1">
            <w:pPr>
              <w:spacing w:line="259" w:lineRule="auto"/>
              <w:ind w:right="62"/>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10" w:type="dxa"/>
            <w:tcBorders>
              <w:top w:val="dashed" w:sz="4" w:space="0" w:color="000000"/>
              <w:left w:val="dashed" w:sz="4" w:space="0" w:color="000000"/>
              <w:bottom w:val="dashed" w:sz="4" w:space="0" w:color="000000"/>
              <w:right w:val="dashed" w:sz="4" w:space="0" w:color="000000"/>
            </w:tcBorders>
            <w:shd w:val="clear" w:color="auto" w:fill="D9E1F2"/>
          </w:tcPr>
          <w:p w14:paraId="7720D51C" w14:textId="685548DB"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241" w:type="dxa"/>
            <w:tcBorders>
              <w:top w:val="dashed" w:sz="4" w:space="0" w:color="000000"/>
              <w:left w:val="dashed" w:sz="4" w:space="0" w:color="000000"/>
              <w:bottom w:val="dashed" w:sz="4" w:space="0" w:color="000000"/>
              <w:right w:val="dashed" w:sz="4" w:space="0" w:color="000000"/>
            </w:tcBorders>
            <w:shd w:val="clear" w:color="auto" w:fill="D9E1F2"/>
          </w:tcPr>
          <w:p w14:paraId="419C77F3" w14:textId="11C4EEEA"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1357" w:type="dxa"/>
            <w:tcBorders>
              <w:top w:val="dashed" w:sz="4" w:space="0" w:color="000000"/>
              <w:left w:val="dashed" w:sz="4" w:space="0" w:color="000000"/>
              <w:bottom w:val="dashed" w:sz="4" w:space="0" w:color="000000"/>
              <w:right w:val="dashed" w:sz="4" w:space="0" w:color="000000"/>
            </w:tcBorders>
            <w:shd w:val="clear" w:color="auto" w:fill="D9E1F2"/>
          </w:tcPr>
          <w:p w14:paraId="2AB28AF5" w14:textId="6F6EA11E" w:rsidR="00C46DA1" w:rsidRDefault="00C46DA1" w:rsidP="00C46DA1">
            <w:pPr>
              <w:spacing w:line="259" w:lineRule="auto"/>
              <w:jc w:val="center"/>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c>
          <w:tcPr>
            <w:tcW w:w="2472" w:type="dxa"/>
            <w:tcBorders>
              <w:top w:val="dashed" w:sz="4" w:space="0" w:color="000000"/>
              <w:left w:val="dashed" w:sz="4" w:space="0" w:color="000000"/>
              <w:bottom w:val="dashed" w:sz="4" w:space="0" w:color="000000"/>
              <w:right w:val="dashed" w:sz="4" w:space="0" w:color="000000"/>
            </w:tcBorders>
            <w:shd w:val="clear" w:color="auto" w:fill="D9E1F2"/>
          </w:tcPr>
          <w:p w14:paraId="1E899F24" w14:textId="6D1C93B4" w:rsidR="00C46DA1" w:rsidRDefault="00C46DA1" w:rsidP="00C46DA1">
            <w:pPr>
              <w:spacing w:line="259" w:lineRule="auto"/>
              <w:ind w:left="2"/>
            </w:pPr>
            <w:r w:rsidRPr="008A7915">
              <w:rPr>
                <w:rFonts w:ascii="Arial" w:hAnsi="Arial" w:cs="Arial"/>
                <w:b/>
                <w:bCs/>
                <w:color w:val="FF0000"/>
              </w:rPr>
              <w:t>REDACTED TEXT under FOIA Section 43 Commercial Interests</w:t>
            </w:r>
            <w:r w:rsidRPr="008A7915">
              <w:rPr>
                <w:rFonts w:ascii="Arial" w:hAnsi="Arial" w:cs="Arial"/>
                <w:color w:val="FF0000"/>
              </w:rPr>
              <w:t>.</w:t>
            </w:r>
            <w:r w:rsidRPr="008A7915">
              <w:rPr>
                <w:rFonts w:ascii="Arial" w:hAnsi="Arial" w:cs="Arial"/>
                <w:color w:val="0B0C0C"/>
              </w:rPr>
              <w:t xml:space="preserve"> </w:t>
            </w:r>
          </w:p>
        </w:tc>
      </w:tr>
    </w:tbl>
    <w:p w14:paraId="55CCA739" w14:textId="77777777" w:rsidR="007D1264" w:rsidRDefault="007D1264">
      <w:pPr>
        <w:spacing w:after="218" w:line="259" w:lineRule="auto"/>
        <w:ind w:left="12"/>
      </w:pPr>
      <w:r>
        <w:rPr>
          <w:rFonts w:ascii="Arial" w:eastAsia="Arial" w:hAnsi="Arial" w:cs="Arial"/>
          <w:b/>
        </w:rPr>
        <w:t xml:space="preserve"> </w:t>
      </w:r>
    </w:p>
    <w:p w14:paraId="2738147E" w14:textId="77777777" w:rsidR="007D1264" w:rsidRDefault="007D1264">
      <w:pPr>
        <w:spacing w:after="0" w:line="259" w:lineRule="auto"/>
        <w:ind w:left="7" w:hanging="10"/>
      </w:pPr>
      <w:r>
        <w:t xml:space="preserve">*Bulk recruitment campaigns are defined as campaigns of 100+ roles </w:t>
      </w:r>
    </w:p>
    <w:p w14:paraId="2D76F6FF" w14:textId="77777777" w:rsidR="007D1264" w:rsidRDefault="007D1264">
      <w:pPr>
        <w:spacing w:after="293" w:line="259" w:lineRule="auto"/>
        <w:ind w:left="1157"/>
      </w:pPr>
      <w:r>
        <w:t xml:space="preserve"> </w:t>
      </w:r>
    </w:p>
    <w:p w14:paraId="47EE6A94" w14:textId="77777777" w:rsidR="007D1264" w:rsidRDefault="007D1264">
      <w:pPr>
        <w:pStyle w:val="Heading1"/>
        <w:tabs>
          <w:tab w:val="center" w:pos="3031"/>
        </w:tabs>
        <w:ind w:left="-3"/>
      </w:pPr>
      <w:bookmarkStart w:id="9" w:name="_Toc43536"/>
      <w:r>
        <w:t xml:space="preserve">9. </w:t>
      </w:r>
      <w:r>
        <w:tab/>
        <w:t xml:space="preserve">CONTINUOUS IMPROVEMENT </w:t>
      </w:r>
      <w:bookmarkEnd w:id="9"/>
    </w:p>
    <w:p w14:paraId="207B96B8" w14:textId="77777777" w:rsidR="007D1264" w:rsidRDefault="007D1264">
      <w:pPr>
        <w:ind w:left="1852" w:right="713" w:hanging="720"/>
      </w:pPr>
      <w:r>
        <w:t xml:space="preserve">9.1 The Provider will be expected to continually improve the way in which the required Services are to be delivered throughout the Contract duration. Areas for improvement may include: Time to Hire, effectiveness of candidate attraction, candidate experience, simplifying the recruitment and assessment process, attrition, data offer and quality of hire. Metrics to support measurement of progress would be sought. </w:t>
      </w:r>
    </w:p>
    <w:p w14:paraId="4051DA59" w14:textId="77777777" w:rsidR="007D1264" w:rsidRDefault="007D1264">
      <w:pPr>
        <w:ind w:left="1852" w:right="713" w:hanging="720"/>
      </w:pPr>
      <w:r>
        <w:t xml:space="preserve">9.2 The Provider should present new ways of working to the Authority during monthly Contract review meetings and before new recruitment campaigns, where appropriate.  </w:t>
      </w:r>
    </w:p>
    <w:p w14:paraId="1F326971" w14:textId="77777777" w:rsidR="007D1264" w:rsidRDefault="007D1264">
      <w:pPr>
        <w:spacing w:after="234" w:line="245" w:lineRule="auto"/>
        <w:ind w:left="1852" w:right="313" w:hanging="720"/>
      </w:pPr>
      <w:r>
        <w:t xml:space="preserve">9.3 </w:t>
      </w:r>
      <w:r>
        <w:tab/>
        <w:t xml:space="preserve">Changes proposed by the Provider to the way in which the Services are to be delivered must be brought to the Authority’s attention and agreed prior to any changes being implemented via the Contractual Change Control process. </w:t>
      </w:r>
    </w:p>
    <w:p w14:paraId="486B8433" w14:textId="77777777" w:rsidR="00C46DA1" w:rsidRDefault="007D1264">
      <w:pPr>
        <w:ind w:left="1852" w:right="713" w:hanging="720"/>
        <w:rPr>
          <w:rFonts w:ascii="Arial" w:hAnsi="Arial" w:cs="Arial"/>
          <w:color w:val="0B0C0C"/>
        </w:rPr>
      </w:pPr>
      <w:r>
        <w:t xml:space="preserve">9.4 </w:t>
      </w:r>
      <w:r w:rsidR="00C46DA1">
        <w:rPr>
          <w:rFonts w:ascii="Arial" w:hAnsi="Arial" w:cs="Arial"/>
          <w:b/>
          <w:bCs/>
          <w:color w:val="FF0000"/>
        </w:rPr>
        <w:t>REDACTED TEXT under FOIA Section 43 Commercial Interests</w:t>
      </w:r>
      <w:r w:rsidR="00C46DA1">
        <w:rPr>
          <w:rFonts w:ascii="Arial" w:hAnsi="Arial" w:cs="Arial"/>
          <w:color w:val="FF0000"/>
        </w:rPr>
        <w:t>.</w:t>
      </w:r>
      <w:r w:rsidR="00C46DA1">
        <w:rPr>
          <w:rFonts w:ascii="Arial" w:hAnsi="Arial" w:cs="Arial"/>
          <w:color w:val="0B0C0C"/>
        </w:rPr>
        <w:t xml:space="preserve"> </w:t>
      </w:r>
    </w:p>
    <w:p w14:paraId="6A603CD0" w14:textId="59666632" w:rsidR="007D1264" w:rsidRDefault="007D1264">
      <w:pPr>
        <w:ind w:left="1852" w:right="713" w:hanging="720"/>
      </w:pPr>
      <w:bookmarkStart w:id="10" w:name="_GoBack"/>
      <w:bookmarkEnd w:id="10"/>
      <w:r>
        <w:t xml:space="preserve">9.5 Only significant changes and Continuous Improvement implementation will be subject to the change control procedure, any </w:t>
      </w:r>
      <w:proofErr w:type="gramStart"/>
      <w:r>
        <w:t>minor  amendments</w:t>
      </w:r>
      <w:proofErr w:type="gramEnd"/>
      <w:r>
        <w:t xml:space="preserve"> to the service should be managed as part of business as usual operations. </w:t>
      </w:r>
    </w:p>
    <w:p w14:paraId="0909EA48" w14:textId="77777777" w:rsidR="007D1264" w:rsidRDefault="007D1264">
      <w:pPr>
        <w:spacing w:after="304"/>
        <w:ind w:left="1852" w:right="713" w:hanging="720"/>
      </w:pPr>
      <w:r>
        <w:t xml:space="preserve">9.6 </w:t>
      </w:r>
      <w:r>
        <w:tab/>
        <w:t xml:space="preserve">Please see the Continuous Improvement, Schedule 3, for more details. </w:t>
      </w:r>
    </w:p>
    <w:p w14:paraId="5C6D8327" w14:textId="77777777" w:rsidR="007D1264" w:rsidRDefault="007D1264">
      <w:pPr>
        <w:pStyle w:val="Heading1"/>
        <w:ind w:left="7"/>
      </w:pPr>
      <w:bookmarkStart w:id="11" w:name="_Toc43537"/>
      <w:r>
        <w:t xml:space="preserve">10. QUALITY </w:t>
      </w:r>
      <w:bookmarkEnd w:id="11"/>
    </w:p>
    <w:p w14:paraId="704D5571" w14:textId="77777777" w:rsidR="007D1264" w:rsidRDefault="007D1264">
      <w:pPr>
        <w:ind w:left="1852" w:right="713" w:hanging="720"/>
      </w:pPr>
      <w:r>
        <w:t xml:space="preserve">10.1 It is the Authority’s decision to ensure that quality thresholds are met by inserting a minimum pass mark of 50 into the quality questionnaires </w:t>
      </w:r>
      <w:r>
        <w:rPr>
          <w:color w:val="FF0000"/>
        </w:rPr>
        <w:t xml:space="preserve"> </w:t>
      </w:r>
    </w:p>
    <w:p w14:paraId="61D3CDEE" w14:textId="77777777" w:rsidR="007D1264" w:rsidRDefault="007D1264">
      <w:pPr>
        <w:ind w:left="1852" w:right="713" w:hanging="720"/>
      </w:pPr>
      <w:r>
        <w:lastRenderedPageBreak/>
        <w:t>10.2 75% of staff working on the contract must hold CTC level security clearance, and a plan must be supplied for 100% of staff to achieve CTC level security clearance, at the point of the contract award.</w:t>
      </w:r>
      <w:r>
        <w:rPr>
          <w:color w:val="FF0000"/>
        </w:rPr>
        <w:t xml:space="preserve"> </w:t>
      </w:r>
    </w:p>
    <w:p w14:paraId="1590034C" w14:textId="77777777" w:rsidR="007D1264" w:rsidRDefault="007D1264">
      <w:pPr>
        <w:spacing w:after="234" w:line="245" w:lineRule="auto"/>
        <w:ind w:left="1852" w:right="313" w:hanging="720"/>
      </w:pPr>
      <w:r>
        <w:t xml:space="preserve">10.3 Senior Managers must have at least twelve (12) months’ experience managing high volume campaigns. CVs must be provided for Senior Managers. </w:t>
      </w:r>
    </w:p>
    <w:p w14:paraId="50DB3A4C" w14:textId="77777777" w:rsidR="007D1264" w:rsidRDefault="007D1264">
      <w:pPr>
        <w:spacing w:after="306"/>
        <w:ind w:left="1852" w:right="713" w:hanging="720"/>
      </w:pPr>
      <w:r>
        <w:t xml:space="preserve">10.4 An organogram must be provided at point of Contract Award, showing how staff working on the contract are divided between teams and what their roles are. The organogram should also define routes for escalation. </w:t>
      </w:r>
    </w:p>
    <w:p w14:paraId="05585E96" w14:textId="77777777" w:rsidR="007D1264" w:rsidRDefault="007D1264">
      <w:pPr>
        <w:pStyle w:val="Heading1"/>
        <w:ind w:left="7"/>
      </w:pPr>
      <w:bookmarkStart w:id="12" w:name="_Toc43538"/>
      <w:r>
        <w:t xml:space="preserve">11. PRICE </w:t>
      </w:r>
      <w:bookmarkEnd w:id="12"/>
    </w:p>
    <w:p w14:paraId="2A316654" w14:textId="77777777" w:rsidR="007D1264" w:rsidRDefault="007D1264">
      <w:pPr>
        <w:ind w:left="1852" w:right="713" w:hanging="720"/>
      </w:pPr>
      <w:r>
        <w:t xml:space="preserve">11.1 Prices are to be submitted via the e-Sourcing Suite Attachment 4 – Price Schedule excluding VAT and including all other expenses relating to Contract delivery. </w:t>
      </w:r>
    </w:p>
    <w:p w14:paraId="442F6315" w14:textId="77777777" w:rsidR="007D1264" w:rsidRDefault="007D1264">
      <w:pPr>
        <w:ind w:left="1852" w:right="713" w:hanging="720"/>
      </w:pPr>
      <w:r>
        <w:t xml:space="preserve">11.2 The Authority requests details of volume discounts within Pricing Submissions. </w:t>
      </w:r>
    </w:p>
    <w:p w14:paraId="68F8E9CE" w14:textId="77777777" w:rsidR="007D1264" w:rsidRDefault="007D1264">
      <w:pPr>
        <w:ind w:left="1852" w:right="713" w:hanging="720"/>
      </w:pPr>
      <w:r>
        <w:t xml:space="preserve">11.3 The estimated maximum Contract value for the contract term is £90,000,000 (excl. VAT), including any extension options. Providers should note that there is no maximum or minimum commitment to spend under this contract and that this is not an indication of budget availability for these services. Contract spend will be reliant on volumes and demand which will be allocated at discretion of the Authority. </w:t>
      </w:r>
    </w:p>
    <w:p w14:paraId="302E611F" w14:textId="77777777" w:rsidR="007D1264" w:rsidRDefault="007D1264">
      <w:pPr>
        <w:spacing w:after="10"/>
        <w:ind w:left="1132" w:right="713"/>
      </w:pPr>
      <w:r>
        <w:t xml:space="preserve">11.4 Providers must note the provisions within Call Off Schedule 3 </w:t>
      </w:r>
    </w:p>
    <w:p w14:paraId="7E50C191" w14:textId="77777777" w:rsidR="007D1264" w:rsidRDefault="007D1264">
      <w:pPr>
        <w:spacing w:after="302"/>
        <w:ind w:left="1867" w:right="713"/>
      </w:pPr>
      <w:r>
        <w:t xml:space="preserve">(Pricing) for further details. </w:t>
      </w:r>
    </w:p>
    <w:p w14:paraId="7B1ED9AC" w14:textId="77777777" w:rsidR="007D1264" w:rsidRDefault="007D1264">
      <w:pPr>
        <w:pStyle w:val="Heading1"/>
        <w:ind w:left="7"/>
      </w:pPr>
      <w:bookmarkStart w:id="13" w:name="_Toc43539"/>
      <w:r>
        <w:t xml:space="preserve">12. STAFF AND CUSTOMER SERVICE </w:t>
      </w:r>
      <w:bookmarkEnd w:id="13"/>
    </w:p>
    <w:p w14:paraId="6991A161" w14:textId="77777777" w:rsidR="007D1264" w:rsidRDefault="007D1264">
      <w:pPr>
        <w:ind w:left="1852" w:right="713" w:hanging="720"/>
      </w:pPr>
      <w:r>
        <w:t xml:space="preserve">12.1 The Provider shall provide a sufficient level of resource throughout the duration of the Contract to consistently deliver a quality service. </w:t>
      </w:r>
    </w:p>
    <w:p w14:paraId="12E8F6DC" w14:textId="77777777" w:rsidR="007D1264" w:rsidRDefault="007D1264">
      <w:pPr>
        <w:ind w:left="1852" w:right="713" w:hanging="720"/>
      </w:pPr>
      <w:r>
        <w:t xml:space="preserve">12.2 The Provider’s staff assigned to the Contract shall have the relevant qualifications and experience to deliver the Contract to the required standard.  </w:t>
      </w:r>
    </w:p>
    <w:p w14:paraId="0E5309A0" w14:textId="77777777" w:rsidR="007D1264" w:rsidRDefault="007D1264">
      <w:pPr>
        <w:spacing w:after="263"/>
        <w:ind w:left="1852" w:right="713" w:hanging="720"/>
      </w:pPr>
      <w:r>
        <w:t xml:space="preserve">12.3 The Provider will include a staffed call centre service between the hours of 0900 – 1730hrs Monday to Friday operated by personnel who are fully trained in the Home Office requirements. An automated service must be available outside these hours. </w:t>
      </w:r>
    </w:p>
    <w:p w14:paraId="22A4FF57" w14:textId="77777777" w:rsidR="007D1264" w:rsidRDefault="007D1264">
      <w:pPr>
        <w:spacing w:after="306"/>
        <w:ind w:left="1852" w:right="713" w:hanging="720"/>
      </w:pPr>
      <w:r>
        <w:lastRenderedPageBreak/>
        <w:t xml:space="preserve">12.4 The Provider shall ensure that staff understand the Authority’s vision and objectives and will provide excellent customer service to the Authority throughout the duration of the Contract.   </w:t>
      </w:r>
    </w:p>
    <w:p w14:paraId="2EE479A2" w14:textId="77777777" w:rsidR="007D1264" w:rsidRDefault="007D1264">
      <w:pPr>
        <w:pStyle w:val="Heading1"/>
        <w:ind w:left="7"/>
      </w:pPr>
      <w:bookmarkStart w:id="14" w:name="_Toc43540"/>
      <w:r>
        <w:t xml:space="preserve">13. SERVICE LEVELS AND PERFORMANCE </w:t>
      </w:r>
      <w:bookmarkEnd w:id="14"/>
    </w:p>
    <w:p w14:paraId="0E1B0B34" w14:textId="77777777" w:rsidR="007D1264" w:rsidRDefault="007D1264">
      <w:pPr>
        <w:spacing w:after="327"/>
        <w:ind w:left="1132" w:right="713"/>
      </w:pPr>
      <w:r>
        <w:t xml:space="preserve">13.1 Refer to Schedule 14 – Service Levels. </w:t>
      </w:r>
    </w:p>
    <w:p w14:paraId="3E898B14" w14:textId="77777777" w:rsidR="007D1264" w:rsidRDefault="007D1264">
      <w:pPr>
        <w:pStyle w:val="Heading1"/>
        <w:ind w:left="7"/>
      </w:pPr>
      <w:bookmarkStart w:id="15" w:name="_Toc43541"/>
      <w:r>
        <w:t xml:space="preserve">14. SECURITY AND CONFIDENTIALITY REQUIREMENTS </w:t>
      </w:r>
      <w:bookmarkEnd w:id="15"/>
    </w:p>
    <w:p w14:paraId="3DA95927" w14:textId="77777777" w:rsidR="007D1264" w:rsidRDefault="007D1264">
      <w:pPr>
        <w:ind w:left="1852" w:right="713" w:hanging="720"/>
      </w:pPr>
      <w:r>
        <w:t xml:space="preserve">14.1 The Provider must employ CTC cleared staff to handle Home Office recruitment data, use IT systems including ATS.  </w:t>
      </w:r>
    </w:p>
    <w:p w14:paraId="24CE13AC" w14:textId="77777777" w:rsidR="007D1264" w:rsidRDefault="007D1264">
      <w:pPr>
        <w:ind w:left="1852" w:right="713" w:hanging="720"/>
      </w:pPr>
      <w:r>
        <w:t xml:space="preserve">14.2 The Provider must at all times deliver its services in compliance to the Home Office Security Policy, which will be shared following the award of the Contract. </w:t>
      </w:r>
    </w:p>
    <w:p w14:paraId="10D5738C" w14:textId="77777777" w:rsidR="007D1264" w:rsidRDefault="007D1264">
      <w:pPr>
        <w:ind w:left="1852" w:right="713" w:hanging="720"/>
      </w:pPr>
      <w:r>
        <w:t xml:space="preserve">14.3 Direct access to candidate data and the ATS must be undertaken by UK based resources that can pass the HMG vetting process to CTC.  </w:t>
      </w:r>
    </w:p>
    <w:p w14:paraId="67BE6EF7" w14:textId="77777777" w:rsidR="007D1264" w:rsidRDefault="007D1264">
      <w:pPr>
        <w:ind w:left="1852" w:right="713" w:hanging="720"/>
      </w:pPr>
      <w:r>
        <w:t xml:space="preserve">14.4 The </w:t>
      </w:r>
      <w:proofErr w:type="gramStart"/>
      <w:r>
        <w:t>Provider  must</w:t>
      </w:r>
      <w:proofErr w:type="gramEnd"/>
      <w:r>
        <w:t xml:space="preserve"> pass the Home Office supply chain management process and must ensure that its sub-Providers can pass any such processes.  </w:t>
      </w:r>
    </w:p>
    <w:p w14:paraId="0FB3E0E9" w14:textId="77777777" w:rsidR="007D1264" w:rsidRDefault="007D1264">
      <w:pPr>
        <w:ind w:left="1852" w:right="713" w:hanging="720"/>
      </w:pPr>
      <w:r>
        <w:t xml:space="preserve">14.5 The Provider must pass on any security requirements from the Authority to any sub-Provider.  </w:t>
      </w:r>
    </w:p>
    <w:p w14:paraId="02C802B2" w14:textId="77777777" w:rsidR="007D1264" w:rsidRDefault="007D1264">
      <w:pPr>
        <w:ind w:left="1852" w:right="713" w:hanging="720"/>
      </w:pPr>
      <w:r>
        <w:t xml:space="preserve">14.6 The Provider and sub-Providers must not be from a state deemed hostile or high threat to the UK.  </w:t>
      </w:r>
    </w:p>
    <w:p w14:paraId="4E1C150B" w14:textId="77777777" w:rsidR="007D1264" w:rsidRDefault="007D1264">
      <w:pPr>
        <w:ind w:left="1852" w:right="713" w:hanging="720"/>
      </w:pPr>
      <w:r>
        <w:t xml:space="preserve">14.7 The Provider and sub-Providers must not be under any direct control of any foreign government and be an independent autonomous entity. </w:t>
      </w:r>
    </w:p>
    <w:p w14:paraId="2660318C" w14:textId="77777777" w:rsidR="007D1264" w:rsidRDefault="007D1264">
      <w:pPr>
        <w:ind w:left="1852" w:right="713" w:hanging="720"/>
      </w:pPr>
      <w:r>
        <w:t xml:space="preserve">14.8 If the Provider proposes to process some, or all, the data used for this contract outside of the UK, then the Authority should be notified as soon as possible during the tender process and the Authority reserves the right to carry out an ‘Data Protection Impact Assessment’ in that instance. The Provider needs to be able to show that they meet the requirements of UKGDPR and the DPA18 (plus amendments) </w:t>
      </w:r>
    </w:p>
    <w:p w14:paraId="53599D94" w14:textId="77777777" w:rsidR="007D1264" w:rsidRDefault="007D1264">
      <w:pPr>
        <w:spacing w:after="172" w:line="259" w:lineRule="auto"/>
        <w:ind w:left="720"/>
      </w:pPr>
      <w:r>
        <w:t xml:space="preserve"> </w:t>
      </w:r>
    </w:p>
    <w:p w14:paraId="2FFF08D0" w14:textId="77777777" w:rsidR="007D1264" w:rsidRDefault="007D1264">
      <w:pPr>
        <w:pStyle w:val="Heading1"/>
        <w:ind w:left="7"/>
      </w:pPr>
      <w:bookmarkStart w:id="16" w:name="_Toc43542"/>
      <w:r>
        <w:t xml:space="preserve">15. PAYMENT AND INVOICING  </w:t>
      </w:r>
      <w:bookmarkEnd w:id="16"/>
    </w:p>
    <w:p w14:paraId="6601E96E" w14:textId="1AF01A69" w:rsidR="007D1264" w:rsidRDefault="007D1264">
      <w:pPr>
        <w:ind w:left="1852" w:right="713" w:hanging="720"/>
      </w:pPr>
      <w:r>
        <w:t xml:space="preserve">15.1 Prices should be submitted in pounds sterling and be inclusive of expenses and profit (which should be clearly separated) and exclusive of VAT. Monthly Invoices (unless stated otherwise) relating to this Service Order </w:t>
      </w:r>
      <w:r>
        <w:lastRenderedPageBreak/>
        <w:t xml:space="preserve">should be sent to the Home Office budget holder for the area of work (to be advised at the outset of the work by the Home Office Resourcing Centre) by email in PDF format and copied to </w:t>
      </w:r>
      <w:r w:rsidR="00C46DA1">
        <w:rPr>
          <w:rFonts w:ascii="Arial" w:hAnsi="Arial" w:cs="Arial"/>
          <w:b/>
          <w:bCs/>
          <w:color w:val="FF0000"/>
        </w:rPr>
        <w:t xml:space="preserve">REDACTED TEXT under FOIA Section 40, Personal </w:t>
      </w:r>
      <w:proofErr w:type="spellStart"/>
      <w:r w:rsidR="00C46DA1">
        <w:rPr>
          <w:rFonts w:ascii="Arial" w:hAnsi="Arial" w:cs="Arial"/>
          <w:b/>
          <w:bCs/>
          <w:color w:val="FF0000"/>
        </w:rPr>
        <w:t>Information</w:t>
      </w:r>
      <w:r w:rsidR="00C46DA1">
        <w:rPr>
          <w:rFonts w:ascii="Arial" w:hAnsi="Arial" w:cs="Arial"/>
          <w:color w:val="0B0C0C"/>
        </w:rPr>
        <w:t>.</w:t>
      </w:r>
      <w:r>
        <w:t>unless</w:t>
      </w:r>
      <w:proofErr w:type="spellEnd"/>
      <w:r>
        <w:t xml:space="preserve"> otherwise indicated. The invoice must quote the correct Purchase Order Number and campaign reference.               </w:t>
      </w:r>
    </w:p>
    <w:p w14:paraId="726500F1" w14:textId="77777777" w:rsidR="007D1264" w:rsidRDefault="007D1264">
      <w:pPr>
        <w:ind w:left="1852" w:right="713" w:hanging="720"/>
      </w:pPr>
      <w:r>
        <w:t xml:space="preserve">15.2 Invoices received without the relevant Purchase Order number may be rejected.  </w:t>
      </w:r>
    </w:p>
    <w:p w14:paraId="27E2118B" w14:textId="77777777" w:rsidR="007D1264" w:rsidRDefault="007D1264">
      <w:pPr>
        <w:ind w:left="1852" w:right="713" w:hanging="720"/>
      </w:pPr>
      <w:r>
        <w:t xml:space="preserve">15.3 Payment can only be made following satisfactory delivery of </w:t>
      </w:r>
      <w:proofErr w:type="spellStart"/>
      <w:r>
        <w:t>preagreed</w:t>
      </w:r>
      <w:proofErr w:type="spellEnd"/>
      <w:r>
        <w:t xml:space="preserve"> certified products and deliverables for activities other than the management and delivery of a recruitment campaign. </w:t>
      </w:r>
    </w:p>
    <w:p w14:paraId="26C7BBDE" w14:textId="77777777" w:rsidR="007D1264" w:rsidRDefault="007D1264">
      <w:pPr>
        <w:ind w:left="1852" w:right="713" w:hanging="720"/>
      </w:pPr>
      <w:r>
        <w:t xml:space="preserve">15.4 Before payment can be considered, each invoice must include a detailed elemental breakdown of work completed and the associated costs, in an Excel spreadsheet detailing each candidate meeting the invoicing trigger point and the date it was met. </w:t>
      </w:r>
    </w:p>
    <w:p w14:paraId="577EFA3B" w14:textId="77777777" w:rsidR="007D1264" w:rsidRDefault="007D1264">
      <w:pPr>
        <w:ind w:left="1852" w:right="713" w:hanging="720"/>
      </w:pPr>
      <w:r>
        <w:t xml:space="preserve">15.5 Each invoice should include the campaign size discount, based on the hire target for each campaign. </w:t>
      </w:r>
    </w:p>
    <w:p w14:paraId="3D528752" w14:textId="77777777" w:rsidR="007D1264" w:rsidRDefault="007D1264">
      <w:pPr>
        <w:ind w:left="1852" w:right="713" w:hanging="720"/>
      </w:pPr>
      <w:r>
        <w:t xml:space="preserve">15.6 At the end of each contract year, the Provider must arrange a rebate to the Home Office based on the cumulative number of candidates delivered under the contract for this year. The rebate will be applied to all Contract Charges for candidate recruitment for that year. </w:t>
      </w:r>
    </w:p>
    <w:p w14:paraId="221E1F1F" w14:textId="77777777" w:rsidR="007D1264" w:rsidRDefault="007D1264">
      <w:pPr>
        <w:spacing w:after="305"/>
        <w:ind w:left="1852" w:right="713" w:hanging="720"/>
      </w:pPr>
      <w:r>
        <w:t xml:space="preserve">15.7 Providers must refer to the Call-Off Schedule 5 (Pricing Details) for more information. </w:t>
      </w:r>
    </w:p>
    <w:p w14:paraId="789CA2ED" w14:textId="77777777" w:rsidR="007D1264" w:rsidRDefault="007D1264">
      <w:pPr>
        <w:pStyle w:val="Heading1"/>
        <w:ind w:left="7"/>
      </w:pPr>
      <w:bookmarkStart w:id="17" w:name="_Toc43543"/>
      <w:r>
        <w:t xml:space="preserve">16. CONTRACT MANAGEMENT  </w:t>
      </w:r>
      <w:bookmarkEnd w:id="17"/>
    </w:p>
    <w:p w14:paraId="2C2366EB" w14:textId="77777777" w:rsidR="007D1264" w:rsidRDefault="007D1264">
      <w:pPr>
        <w:ind w:left="1852" w:right="713" w:hanging="720"/>
      </w:pPr>
      <w:r>
        <w:t xml:space="preserve">16.1 The Provider must appoint a suitable experienced Account Manager to oversee the Contract and services provided. Should the appointed Account Manager be unable to provide services at any given time the Provider will replace the Account Manager within 24hrs of notification and will inform the Home Office of the replacement manager. Any replacement Account Manager will be fully updated on the status of the campaign before being assigned to the campaign.  The account manager or deputy must be available to attend, as a minimum, monthly contract management meetings and should also be identified as the appropriate person with whom to escalate any potential issues. </w:t>
      </w:r>
    </w:p>
    <w:p w14:paraId="653012EC" w14:textId="77777777" w:rsidR="007D1264" w:rsidRDefault="007D1264">
      <w:pPr>
        <w:ind w:left="2223" w:right="713"/>
      </w:pPr>
      <w:r>
        <w:t xml:space="preserve">16.1.1 Attendance at Contract Review meetings, and all other meetings, shall be at the Provider’s own expense. </w:t>
      </w:r>
    </w:p>
    <w:p w14:paraId="0052C181" w14:textId="77777777" w:rsidR="007D1264" w:rsidRDefault="007D1264">
      <w:pPr>
        <w:pStyle w:val="Heading2"/>
        <w:spacing w:after="218" w:line="259" w:lineRule="auto"/>
        <w:ind w:left="1142"/>
      </w:pPr>
      <w:r>
        <w:rPr>
          <w:rFonts w:ascii="Arial" w:eastAsia="Arial" w:hAnsi="Arial" w:cs="Arial"/>
          <w:b w:val="0"/>
          <w:sz w:val="24"/>
        </w:rPr>
        <w:lastRenderedPageBreak/>
        <w:t xml:space="preserve">16.2 </w:t>
      </w:r>
      <w:r>
        <w:rPr>
          <w:sz w:val="24"/>
        </w:rPr>
        <w:t xml:space="preserve">Contract Management: Management Information &amp; Reporting </w:t>
      </w:r>
    </w:p>
    <w:p w14:paraId="01D61635" w14:textId="1FCD1921" w:rsidR="007D1264" w:rsidRDefault="007D1264">
      <w:pPr>
        <w:ind w:left="2223" w:right="713"/>
      </w:pPr>
      <w:r>
        <w:t xml:space="preserve">16.2.1 The Account Manager must provide at the first working day of each month as a minimum a Contract update spreadsheet to </w:t>
      </w:r>
      <w:r w:rsidR="00C46DA1">
        <w:rPr>
          <w:rFonts w:ascii="Arial" w:hAnsi="Arial" w:cs="Arial"/>
          <w:b/>
          <w:bCs/>
          <w:color w:val="FF0000"/>
        </w:rPr>
        <w:t>REDACTED TEXT under FOIA Section 40, Personal Information</w:t>
      </w:r>
      <w:r w:rsidR="00C46DA1">
        <w:rPr>
          <w:rFonts w:ascii="Arial" w:hAnsi="Arial" w:cs="Arial"/>
          <w:color w:val="0B0C0C"/>
        </w:rPr>
        <w:t xml:space="preserve"> </w:t>
      </w:r>
      <w:r>
        <w:t xml:space="preserve">which must include: </w:t>
      </w:r>
    </w:p>
    <w:p w14:paraId="0D1EA668" w14:textId="77777777" w:rsidR="007D1264" w:rsidRDefault="007D1264" w:rsidP="007D1264">
      <w:pPr>
        <w:numPr>
          <w:ilvl w:val="0"/>
          <w:numId w:val="16"/>
        </w:numPr>
        <w:spacing w:after="10" w:line="249" w:lineRule="auto"/>
        <w:ind w:right="713" w:hanging="360"/>
        <w:jc w:val="both"/>
      </w:pPr>
      <w:r>
        <w:t xml:space="preserve">Current campaign title and reference number  </w:t>
      </w:r>
    </w:p>
    <w:p w14:paraId="6BE299A4" w14:textId="77777777" w:rsidR="007D1264" w:rsidRDefault="007D1264" w:rsidP="007D1264">
      <w:pPr>
        <w:numPr>
          <w:ilvl w:val="0"/>
          <w:numId w:val="16"/>
        </w:numPr>
        <w:spacing w:after="10" w:line="249" w:lineRule="auto"/>
        <w:ind w:right="713" w:hanging="360"/>
        <w:jc w:val="both"/>
      </w:pPr>
      <w:r>
        <w:t xml:space="preserve">Brief campaign summary </w:t>
      </w:r>
    </w:p>
    <w:p w14:paraId="6F2D1988" w14:textId="77777777" w:rsidR="007D1264" w:rsidRDefault="007D1264" w:rsidP="007D1264">
      <w:pPr>
        <w:numPr>
          <w:ilvl w:val="0"/>
          <w:numId w:val="16"/>
        </w:numPr>
        <w:spacing w:after="10" w:line="249" w:lineRule="auto"/>
        <w:ind w:right="713" w:hanging="360"/>
        <w:jc w:val="both"/>
      </w:pPr>
      <w:r>
        <w:t xml:space="preserve">Predicted costs </w:t>
      </w:r>
    </w:p>
    <w:p w14:paraId="30395CAF" w14:textId="77777777" w:rsidR="007D1264" w:rsidRDefault="007D1264" w:rsidP="007D1264">
      <w:pPr>
        <w:numPr>
          <w:ilvl w:val="0"/>
          <w:numId w:val="16"/>
        </w:numPr>
        <w:spacing w:after="10" w:line="249" w:lineRule="auto"/>
        <w:ind w:right="713" w:hanging="360"/>
        <w:jc w:val="both"/>
      </w:pPr>
      <w:r>
        <w:t xml:space="preserve">Agreed costs </w:t>
      </w:r>
    </w:p>
    <w:p w14:paraId="23A57D2B" w14:textId="77777777" w:rsidR="007D1264" w:rsidRDefault="007D1264" w:rsidP="007D1264">
      <w:pPr>
        <w:numPr>
          <w:ilvl w:val="0"/>
          <w:numId w:val="16"/>
        </w:numPr>
        <w:spacing w:after="10" w:line="249" w:lineRule="auto"/>
        <w:ind w:right="713" w:hanging="360"/>
        <w:jc w:val="both"/>
      </w:pPr>
      <w:r>
        <w:t xml:space="preserve">Duration </w:t>
      </w:r>
    </w:p>
    <w:p w14:paraId="1EBF9B10" w14:textId="77777777" w:rsidR="007D1264" w:rsidRDefault="007D1264" w:rsidP="007D1264">
      <w:pPr>
        <w:numPr>
          <w:ilvl w:val="0"/>
          <w:numId w:val="16"/>
        </w:numPr>
        <w:spacing w:after="10" w:line="249" w:lineRule="auto"/>
        <w:ind w:right="713" w:hanging="360"/>
        <w:jc w:val="both"/>
      </w:pPr>
      <w:r>
        <w:t xml:space="preserve">Purchase order number </w:t>
      </w:r>
    </w:p>
    <w:p w14:paraId="37AC7062" w14:textId="77777777" w:rsidR="007D1264" w:rsidRDefault="007D1264">
      <w:pPr>
        <w:spacing w:after="0" w:line="259" w:lineRule="auto"/>
        <w:ind w:left="437"/>
      </w:pPr>
      <w:r>
        <w:t xml:space="preserve"> </w:t>
      </w:r>
    </w:p>
    <w:p w14:paraId="6D602296" w14:textId="77777777" w:rsidR="007D1264" w:rsidRDefault="007D1264">
      <w:pPr>
        <w:ind w:left="2223" w:right="713"/>
      </w:pPr>
      <w:r>
        <w:t xml:space="preserve">16.2.2 Performance Monitoring Reports must be submitted at least 2 working days before the Contract Management Meetings take place.  Providers must ensure that they provide full backing data for each KPI and SPI within their monthly Performance Monitoring Report. Please refer to the Schedule 14 – Service Levels for further details. </w:t>
      </w:r>
    </w:p>
    <w:p w14:paraId="674ECD6C" w14:textId="77777777" w:rsidR="009260D8" w:rsidRDefault="007D1264">
      <w:pPr>
        <w:spacing w:after="0" w:line="456" w:lineRule="auto"/>
        <w:ind w:left="1132" w:right="713" w:firstLine="55"/>
      </w:pPr>
      <w:r>
        <w:t xml:space="preserve">16.2.3 </w:t>
      </w:r>
      <w:r>
        <w:tab/>
        <w:t>Performance Monitoring Reports must contain, at a minimum:</w:t>
      </w:r>
    </w:p>
    <w:p w14:paraId="1C1BBD2B" w14:textId="08635F61" w:rsidR="007D1264" w:rsidRDefault="007D1264">
      <w:pPr>
        <w:spacing w:after="0" w:line="456" w:lineRule="auto"/>
        <w:ind w:left="1132" w:right="713" w:firstLine="55"/>
      </w:pPr>
      <w:r>
        <w:t xml:space="preserve"> A. Average Time to Hire per live campaign, in working days. </w:t>
      </w:r>
    </w:p>
    <w:p w14:paraId="6F34EB04" w14:textId="77777777" w:rsidR="007D1264" w:rsidRDefault="007D1264" w:rsidP="007D1264">
      <w:pPr>
        <w:numPr>
          <w:ilvl w:val="0"/>
          <w:numId w:val="17"/>
        </w:numPr>
        <w:spacing w:after="228" w:line="251" w:lineRule="auto"/>
        <w:ind w:right="713" w:hanging="360"/>
        <w:jc w:val="both"/>
      </w:pPr>
      <w:r>
        <w:t xml:space="preserve">Diversity and Inclusion statistics per live campaign, for active candidates. </w:t>
      </w:r>
    </w:p>
    <w:p w14:paraId="5C28F4D5" w14:textId="77777777" w:rsidR="007D1264" w:rsidRDefault="007D1264" w:rsidP="007D1264">
      <w:pPr>
        <w:numPr>
          <w:ilvl w:val="0"/>
          <w:numId w:val="17"/>
        </w:numPr>
        <w:spacing w:after="233" w:line="249" w:lineRule="auto"/>
        <w:ind w:right="713" w:hanging="360"/>
        <w:jc w:val="both"/>
      </w:pPr>
      <w:r>
        <w:t xml:space="preserve">Performance against KPIs and SPIs </w:t>
      </w:r>
    </w:p>
    <w:p w14:paraId="2A457D4D" w14:textId="77777777" w:rsidR="007D1264" w:rsidRDefault="007D1264" w:rsidP="007D1264">
      <w:pPr>
        <w:numPr>
          <w:ilvl w:val="0"/>
          <w:numId w:val="17"/>
        </w:numPr>
        <w:spacing w:after="233" w:line="249" w:lineRule="auto"/>
        <w:ind w:right="713" w:hanging="360"/>
        <w:jc w:val="both"/>
      </w:pPr>
      <w:r>
        <w:t xml:space="preserve">PO status for all campaigns </w:t>
      </w:r>
    </w:p>
    <w:p w14:paraId="46E4B85B" w14:textId="77777777" w:rsidR="007D1264" w:rsidRDefault="007D1264" w:rsidP="007D1264">
      <w:pPr>
        <w:numPr>
          <w:ilvl w:val="0"/>
          <w:numId w:val="17"/>
        </w:numPr>
        <w:spacing w:after="233" w:line="249" w:lineRule="auto"/>
        <w:ind w:right="713" w:hanging="360"/>
        <w:jc w:val="both"/>
      </w:pPr>
      <w:r>
        <w:t xml:space="preserve">An escalated risk and issue register </w:t>
      </w:r>
    </w:p>
    <w:p w14:paraId="4F815C8A" w14:textId="77777777" w:rsidR="007D1264" w:rsidRDefault="007D1264">
      <w:pPr>
        <w:spacing w:after="218" w:line="259" w:lineRule="auto"/>
        <w:ind w:left="732"/>
      </w:pPr>
      <w:r>
        <w:t xml:space="preserve"> </w:t>
      </w:r>
    </w:p>
    <w:p w14:paraId="30C80009" w14:textId="77777777" w:rsidR="007D1264" w:rsidRDefault="007D1264">
      <w:pPr>
        <w:pStyle w:val="Heading2"/>
        <w:spacing w:after="218" w:line="259" w:lineRule="auto"/>
        <w:ind w:left="1142"/>
      </w:pPr>
      <w:r>
        <w:rPr>
          <w:rFonts w:ascii="Arial" w:eastAsia="Arial" w:hAnsi="Arial" w:cs="Arial"/>
          <w:b w:val="0"/>
          <w:sz w:val="24"/>
        </w:rPr>
        <w:t xml:space="preserve">16.3 </w:t>
      </w:r>
      <w:r>
        <w:rPr>
          <w:sz w:val="24"/>
        </w:rPr>
        <w:t xml:space="preserve">Framework Management Information   </w:t>
      </w:r>
    </w:p>
    <w:p w14:paraId="03B63450" w14:textId="77777777" w:rsidR="007D1264" w:rsidRDefault="007D1264">
      <w:pPr>
        <w:spacing w:after="234" w:line="245" w:lineRule="auto"/>
        <w:ind w:left="2223" w:right="313"/>
      </w:pPr>
      <w:r>
        <w:t xml:space="preserve">16.3.1 </w:t>
      </w:r>
      <w:r>
        <w:tab/>
        <w:t xml:space="preserve">In addition to the contract management information required as per 16.2, the Provider will also be required to provide the normal framework </w:t>
      </w:r>
      <w:r>
        <w:tab/>
        <w:t xml:space="preserve">agreement </w:t>
      </w:r>
      <w:r>
        <w:tab/>
        <w:t xml:space="preserve">monthly </w:t>
      </w:r>
      <w:r>
        <w:tab/>
        <w:t xml:space="preserve">reporting </w:t>
      </w:r>
      <w:r>
        <w:tab/>
        <w:t xml:space="preserve">management information as laid down in recruitment framework RM 6229. </w:t>
      </w:r>
    </w:p>
    <w:p w14:paraId="000188C7" w14:textId="77777777" w:rsidR="007D1264" w:rsidRDefault="007D1264">
      <w:pPr>
        <w:spacing w:after="0" w:line="259" w:lineRule="auto"/>
        <w:ind w:left="1812"/>
      </w:pPr>
      <w:r>
        <w:t xml:space="preserve"> </w:t>
      </w:r>
    </w:p>
    <w:p w14:paraId="55E8F81C" w14:textId="77777777" w:rsidR="007D1264" w:rsidRDefault="007D1264">
      <w:pPr>
        <w:pStyle w:val="Heading2"/>
        <w:spacing w:after="218" w:line="259" w:lineRule="auto"/>
        <w:ind w:left="1142"/>
      </w:pPr>
      <w:r>
        <w:rPr>
          <w:rFonts w:ascii="Arial" w:eastAsia="Arial" w:hAnsi="Arial" w:cs="Arial"/>
          <w:b w:val="0"/>
          <w:sz w:val="24"/>
        </w:rPr>
        <w:t xml:space="preserve">16.4 </w:t>
      </w:r>
      <w:r>
        <w:rPr>
          <w:sz w:val="24"/>
        </w:rPr>
        <w:t xml:space="preserve">Third Parties and Sub-Contractors   </w:t>
      </w:r>
    </w:p>
    <w:p w14:paraId="65831E64" w14:textId="77777777" w:rsidR="007D1264" w:rsidRDefault="007D1264">
      <w:pPr>
        <w:spacing w:after="306"/>
        <w:ind w:left="2223" w:right="713"/>
      </w:pPr>
      <w:r>
        <w:t xml:space="preserve">16.4.1 It is expected that the Provider will be willing and able to engage with third parties and sub-contractors, in line with the </w:t>
      </w:r>
      <w:r>
        <w:lastRenderedPageBreak/>
        <w:t xml:space="preserve">government SME agenda, to ensure suitable candidates are presented for roles across all levels, functions and types, specifically in situations where the Provider’s own direct sourcing efforts or are unlikely to provide successful candidates or the services set out in the requirements section of this document. </w:t>
      </w:r>
    </w:p>
    <w:p w14:paraId="7231D052" w14:textId="77777777" w:rsidR="007D1264" w:rsidRDefault="007D1264">
      <w:pPr>
        <w:pStyle w:val="Heading1"/>
        <w:ind w:left="7"/>
      </w:pPr>
      <w:bookmarkStart w:id="18" w:name="_Toc43544"/>
      <w:r>
        <w:t xml:space="preserve">17. LOCATION  </w:t>
      </w:r>
      <w:bookmarkEnd w:id="18"/>
    </w:p>
    <w:p w14:paraId="7C11CC80" w14:textId="77777777" w:rsidR="007D1264" w:rsidRDefault="007D1264">
      <w:pPr>
        <w:spacing w:after="305"/>
        <w:ind w:left="1852" w:right="713" w:hanging="720"/>
      </w:pPr>
      <w:r>
        <w:t xml:space="preserve">17.1 Our main offices are in London, but we have staff in both operational and non-operational areas around the UK and overseas, but the services provided under this contract will need to be provided within the UK.  </w:t>
      </w:r>
    </w:p>
    <w:p w14:paraId="51DF4E4C" w14:textId="77777777" w:rsidR="007D1264" w:rsidRDefault="007D1264">
      <w:pPr>
        <w:pStyle w:val="Heading1"/>
        <w:spacing w:after="152"/>
        <w:ind w:left="7"/>
      </w:pPr>
      <w:bookmarkStart w:id="19" w:name="_Toc43545"/>
      <w:r>
        <w:t xml:space="preserve">18. TUPE </w:t>
      </w:r>
      <w:bookmarkEnd w:id="19"/>
    </w:p>
    <w:p w14:paraId="7ECBA6ED" w14:textId="77777777" w:rsidR="007D1264" w:rsidRDefault="007D1264">
      <w:pPr>
        <w:tabs>
          <w:tab w:val="center" w:pos="1379"/>
          <w:tab w:val="center" w:pos="5607"/>
        </w:tabs>
        <w:spacing w:after="37"/>
      </w:pPr>
      <w:r>
        <w:rPr>
          <w:rFonts w:cs="Calibri"/>
        </w:rPr>
        <w:tab/>
      </w:r>
      <w:r>
        <w:t xml:space="preserve">18.1 </w:t>
      </w:r>
      <w:r>
        <w:tab/>
        <w:t xml:space="preserve">It is the Home Office’s view that the Transfer of Undertakings </w:t>
      </w:r>
    </w:p>
    <w:p w14:paraId="65CFD2D3" w14:textId="77777777" w:rsidR="007D1264" w:rsidRDefault="007D1264">
      <w:pPr>
        <w:ind w:left="1132" w:right="713"/>
      </w:pPr>
      <w:r>
        <w:t xml:space="preserve">(Protection of Employment) Regulations 2006 (“TUPE”) is likely to apply to this Contract.  However, the Home Office is not liable for this view and Potential Providers should obtain their own legal advice on the applicability of TUPE. </w:t>
      </w:r>
    </w:p>
    <w:p w14:paraId="70D7C4E3" w14:textId="77777777" w:rsidR="007D1264" w:rsidRDefault="007D1264">
      <w:pPr>
        <w:ind w:left="1132" w:right="713"/>
      </w:pPr>
      <w:r>
        <w:t xml:space="preserve">18.2   Staffing information received from the current Provider is provided (“TUPE Data”).  The Home Office does not anticipate that any existing Home Office staff will be in scope to transfer under the TUPE regulations as a result of this Contract. </w:t>
      </w:r>
    </w:p>
    <w:p w14:paraId="20A9294F" w14:textId="77777777" w:rsidR="007D1264" w:rsidRDefault="007D1264">
      <w:pPr>
        <w:ind w:left="1132" w:right="713"/>
      </w:pPr>
      <w:r>
        <w:t xml:space="preserve">18.3 The TUPE Data has been supplied by the current Provider to support the procurement process.  The Home Office has no control over the content of the TUPE Data and has not verified or approved the TUPE Data.  It is provided for Providers who may wish to take their own professional or specialist advice on the basis of the following terms of use: </w:t>
      </w:r>
    </w:p>
    <w:p w14:paraId="14A28475" w14:textId="77777777" w:rsidR="007D1264" w:rsidRDefault="007D1264" w:rsidP="007D1264">
      <w:pPr>
        <w:numPr>
          <w:ilvl w:val="0"/>
          <w:numId w:val="18"/>
        </w:numPr>
        <w:spacing w:after="233" w:line="249" w:lineRule="auto"/>
        <w:ind w:right="713"/>
        <w:jc w:val="both"/>
      </w:pPr>
      <w:r>
        <w:t xml:space="preserve">The Home Office does not make any representations, warranties or guarantees, whether express or implied, that the TUPE Data is accurate, complete or up to date; </w:t>
      </w:r>
    </w:p>
    <w:p w14:paraId="39C03E4B" w14:textId="77777777" w:rsidR="007D1264" w:rsidRDefault="007D1264" w:rsidP="007D1264">
      <w:pPr>
        <w:numPr>
          <w:ilvl w:val="0"/>
          <w:numId w:val="18"/>
        </w:numPr>
        <w:spacing w:after="233" w:line="249" w:lineRule="auto"/>
        <w:ind w:right="713"/>
        <w:jc w:val="both"/>
      </w:pPr>
      <w:r>
        <w:t xml:space="preserve">TUPE Data is provided for information only.  It is not intended to amount to advice on which Potential Providers should rely.  Potential Providers should obtain professional or specialist advice before taking, or refraining from, any action on the basis of the TUPE Data. </w:t>
      </w:r>
    </w:p>
    <w:p w14:paraId="1F228928" w14:textId="77777777" w:rsidR="007D1264" w:rsidRDefault="007D1264">
      <w:pPr>
        <w:spacing w:after="212"/>
        <w:ind w:left="1132" w:right="713"/>
      </w:pPr>
      <w:r>
        <w:t xml:space="preserve">By accessing the TUPE Data the Provider hereby confirms and accepts the above terms of use.  If the Provider does not agree to these terms, the TUPE Data must not be accessed by the Provider. </w:t>
      </w:r>
    </w:p>
    <w:p w14:paraId="0AF48911" w14:textId="77777777" w:rsidR="007D1264" w:rsidRDefault="007D1264">
      <w:pPr>
        <w:spacing w:after="0" w:line="259" w:lineRule="auto"/>
        <w:ind w:left="12"/>
      </w:pPr>
      <w:r>
        <w:rPr>
          <w:rFonts w:ascii="Arial" w:eastAsia="Arial" w:hAnsi="Arial" w:cs="Arial"/>
          <w:b/>
        </w:rPr>
        <w:t xml:space="preserve"> </w:t>
      </w:r>
    </w:p>
    <w:p w14:paraId="36BC6301" w14:textId="1E27B28A" w:rsidR="007D1264" w:rsidRDefault="00C46DA1">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hAnsi="Arial" w:cs="Arial"/>
          <w:b/>
          <w:bCs/>
          <w:color w:val="FF0000"/>
        </w:rPr>
        <w:t>REDACTED TEXT under FOIA Section 43 Commercial Interests</w:t>
      </w:r>
      <w:r>
        <w:rPr>
          <w:rFonts w:ascii="Arial" w:hAnsi="Arial" w:cs="Arial"/>
          <w:color w:val="FF0000"/>
        </w:rPr>
        <w:t>.</w:t>
      </w:r>
    </w:p>
    <w:p w14:paraId="4516E25F" w14:textId="77777777" w:rsidR="007D1264" w:rsidRDefault="007D1264">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p>
    <w:p w14:paraId="1A8131C8" w14:textId="6CF1FD47" w:rsidR="007D1264" w:rsidRDefault="00C46DA1">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hAnsi="Arial" w:cs="Arial"/>
          <w:b/>
          <w:bCs/>
          <w:color w:val="FF0000"/>
        </w:rPr>
        <w:t>REDACTED TEXT under FOIA Section 43 Commercial Interests</w:t>
      </w:r>
      <w:r>
        <w:rPr>
          <w:rFonts w:ascii="Arial" w:hAnsi="Arial" w:cs="Arial"/>
          <w:color w:val="FF0000"/>
        </w:rPr>
        <w:t>.</w:t>
      </w:r>
    </w:p>
    <w:p w14:paraId="00000006" w14:textId="195DC49A" w:rsidR="007D1264" w:rsidRDefault="00C46DA1">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sectPr w:rsidR="007D1264">
          <w:headerReference w:type="even" r:id="rId67"/>
          <w:headerReference w:type="default" r:id="rId68"/>
          <w:footerReference w:type="even" r:id="rId69"/>
          <w:footerReference w:type="default" r:id="rId70"/>
          <w:headerReference w:type="first" r:id="rId71"/>
          <w:footerReference w:type="first" r:id="rId72"/>
          <w:pgSz w:w="11906" w:h="16838"/>
          <w:pgMar w:top="1440" w:right="1440" w:bottom="1440" w:left="1440" w:header="708" w:footer="708" w:gutter="0"/>
          <w:pgNumType w:start="1"/>
          <w:cols w:space="720"/>
        </w:sectPr>
      </w:pPr>
      <w:r>
        <w:rPr>
          <w:rFonts w:ascii="Arial" w:hAnsi="Arial" w:cs="Arial"/>
          <w:b/>
          <w:bCs/>
          <w:color w:val="FF0000"/>
        </w:rPr>
        <w:t>REDACTED TEXT under FOIA Section 43 Commercial Interests</w:t>
      </w:r>
      <w:r>
        <w:rPr>
          <w:rFonts w:ascii="Arial" w:hAnsi="Arial" w:cs="Arial"/>
          <w:color w:val="FF0000"/>
        </w:rPr>
        <w:t>.</w:t>
      </w:r>
    </w:p>
    <w:p w14:paraId="00000007" w14:textId="77777777" w:rsidR="00950E45" w:rsidRDefault="00950E45">
      <w:pPr>
        <w:pBdr>
          <w:top w:val="nil"/>
          <w:left w:val="nil"/>
          <w:bottom w:val="nil"/>
          <w:right w:val="nil"/>
          <w:between w:val="nil"/>
        </w:pBdr>
        <w:spacing w:before="120" w:after="120" w:line="240" w:lineRule="auto"/>
        <w:ind w:left="936" w:hanging="576"/>
        <w:rPr>
          <w:rFonts w:ascii="Arial" w:eastAsia="Arial" w:hAnsi="Arial" w:cs="Arial"/>
          <w:b/>
          <w:color w:val="000000"/>
          <w:sz w:val="24"/>
          <w:szCs w:val="24"/>
          <w:highlight w:val="yellow"/>
        </w:rPr>
      </w:pPr>
      <w:bookmarkStart w:id="20" w:name="_heading=h.30j0zll" w:colFirst="0" w:colLast="0"/>
      <w:bookmarkEnd w:id="20"/>
    </w:p>
    <w:p w14:paraId="00000008" w14:textId="77777777" w:rsidR="00950E45" w:rsidRDefault="00950E45">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sectPr w:rsidR="00950E45">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9D7D0" w14:textId="77777777" w:rsidR="005A0D65" w:rsidRDefault="005A0D65">
      <w:pPr>
        <w:spacing w:after="0" w:line="240" w:lineRule="auto"/>
      </w:pPr>
      <w:r>
        <w:separator/>
      </w:r>
    </w:p>
  </w:endnote>
  <w:endnote w:type="continuationSeparator" w:id="0">
    <w:p w14:paraId="2D8B765B" w14:textId="77777777" w:rsidR="005A0D65" w:rsidRDefault="005A0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A9F81" w14:textId="77777777" w:rsidR="007D1264" w:rsidRDefault="007D1264">
    <w:pPr>
      <w:spacing w:after="0" w:line="259" w:lineRule="auto"/>
      <w:ind w:left="-45" w:right="36"/>
      <w:jc w:val="center"/>
    </w:pPr>
    <w:r>
      <w:rPr>
        <w:rFonts w:cs="Calibri"/>
        <w:noProof/>
      </w:rPr>
      <mc:AlternateContent>
        <mc:Choice Requires="wpg">
          <w:drawing>
            <wp:anchor distT="0" distB="0" distL="114300" distR="114300" simplePos="0" relativeHeight="251659264" behindDoc="0" locked="0" layoutInCell="1" allowOverlap="1" wp14:anchorId="1982554E" wp14:editId="380F561F">
              <wp:simplePos x="0" y="0"/>
              <wp:positionH relativeFrom="page">
                <wp:posOffset>885825</wp:posOffset>
              </wp:positionH>
              <wp:positionV relativeFrom="page">
                <wp:posOffset>9250172</wp:posOffset>
              </wp:positionV>
              <wp:extent cx="5743575" cy="9525"/>
              <wp:effectExtent l="0" t="0" r="0" b="0"/>
              <wp:wrapSquare wrapText="bothSides"/>
              <wp:docPr id="42619" name="Group 42619"/>
              <wp:cNvGraphicFramePr/>
              <a:graphic xmlns:a="http://schemas.openxmlformats.org/drawingml/2006/main">
                <a:graphicData uri="http://schemas.microsoft.com/office/word/2010/wordprocessingGroup">
                  <wpg:wgp>
                    <wpg:cNvGrpSpPr/>
                    <wpg:grpSpPr>
                      <a:xfrm>
                        <a:off x="0" y="0"/>
                        <a:ext cx="5743575" cy="9525"/>
                        <a:chOff x="0" y="0"/>
                        <a:chExt cx="5743575" cy="9525"/>
                      </a:xfrm>
                    </wpg:grpSpPr>
                    <wps:wsp>
                      <wps:cNvPr id="42620" name="Shape 42620"/>
                      <wps:cNvSpPr/>
                      <wps:spPr>
                        <a:xfrm>
                          <a:off x="0" y="0"/>
                          <a:ext cx="5743575" cy="9525"/>
                        </a:xfrm>
                        <a:custGeom>
                          <a:avLst/>
                          <a:gdLst/>
                          <a:ahLst/>
                          <a:cxnLst/>
                          <a:rect l="0" t="0" r="0" b="0"/>
                          <a:pathLst>
                            <a:path w="5743575" h="9525">
                              <a:moveTo>
                                <a:pt x="0" y="0"/>
                              </a:moveTo>
                              <a:lnTo>
                                <a:pt x="5743575" y="9525"/>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864FC00" id="Group 42619" o:spid="_x0000_s1026" style="position:absolute;margin-left:69.75pt;margin-top:728.35pt;width:452.25pt;height:.75pt;z-index:251659264;mso-position-horizontal-relative:page;mso-position-vertical-relative:page" coordsize="5743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">
              <v:shape id="Shape 42620" o:spid="_x0000_s1027" style="position:absolute;width:57435;height:95;visibility:visible;mso-wrap-style:square;v-text-anchor:top" coordsize="5743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" path="m,l5743575,9525e" filled="f">
                <v:path arrowok="t" textboxrect="0,0,5743575,9525"/>
              </v:shape>
              <w10:wrap type="square" anchorx="page" anchory="page"/>
            </v:group>
          </w:pict>
        </mc:Fallback>
      </mc:AlternateContent>
    </w:r>
    <w:r>
      <w:t xml:space="preserve"> </w:t>
    </w:r>
  </w:p>
  <w:p w14:paraId="3C760542" w14:textId="77777777" w:rsidR="007D1264" w:rsidRDefault="007D1264">
    <w:pPr>
      <w:spacing w:after="0" w:line="259" w:lineRule="auto"/>
      <w:ind w:right="10"/>
      <w:jc w:val="center"/>
    </w:pPr>
    <w:r>
      <w:rPr>
        <w:sz w:val="20"/>
      </w:rPr>
      <w:t xml:space="preserve">OFFICIAL </w:t>
    </w:r>
  </w:p>
  <w:p w14:paraId="16B49650" w14:textId="77777777" w:rsidR="007D1264" w:rsidRDefault="007D1264">
    <w:pPr>
      <w:spacing w:after="17" w:line="259" w:lineRule="auto"/>
    </w:pPr>
    <w:r>
      <w:rPr>
        <w:sz w:val="20"/>
      </w:rPr>
      <w:t xml:space="preserve">Bid pack for Provision of Permanent Recruitment for the Home Office </w:t>
    </w:r>
  </w:p>
  <w:p w14:paraId="28F72CAB" w14:textId="77777777" w:rsidR="007D1264" w:rsidRDefault="007D1264">
    <w:pPr>
      <w:tabs>
        <w:tab w:val="center" w:pos="3601"/>
        <w:tab w:val="center" w:pos="4321"/>
        <w:tab w:val="center" w:pos="5041"/>
        <w:tab w:val="center" w:pos="5761"/>
        <w:tab w:val="center" w:pos="6481"/>
        <w:tab w:val="center" w:pos="7768"/>
      </w:tabs>
      <w:spacing w:after="0" w:line="259" w:lineRule="auto"/>
    </w:pPr>
    <w:r>
      <w:rPr>
        <w:sz w:val="20"/>
      </w:rPr>
      <w:t>Contract Reference: CCZV22A01</w:t>
    </w:r>
    <w:r>
      <w:t xml:space="preserve"> </w:t>
    </w:r>
    <w:r>
      <w:tab/>
      <w:t xml:space="preserve"> </w:t>
    </w:r>
    <w:r>
      <w:tab/>
      <w:t xml:space="preserve"> </w:t>
    </w:r>
    <w:r>
      <w:tab/>
      <w:t xml:space="preserve"> </w:t>
    </w:r>
    <w:r>
      <w:tab/>
      <w:t xml:space="preserve"> </w:t>
    </w:r>
    <w:r>
      <w:tab/>
      <w:t xml:space="preserve"> </w:t>
    </w:r>
    <w:r>
      <w:tab/>
    </w:r>
    <w:r>
      <w:rPr>
        <w:sz w:val="20"/>
      </w:rPr>
      <w:t xml:space="preserve">Page </w:t>
    </w:r>
    <w:r>
      <w:fldChar w:fldCharType="begin"/>
    </w:r>
    <w:r>
      <w:instrText xml:space="preserve"> PAGE   \* MERGEFORMAT </w:instrText>
    </w:r>
    <w:r>
      <w:fldChar w:fldCharType="separate"/>
    </w:r>
    <w:r>
      <w:rPr>
        <w:sz w:val="20"/>
        <w:shd w:val="clear" w:color="auto" w:fill="E6E6E6"/>
      </w:rPr>
      <w:t>1</w:t>
    </w:r>
    <w:r>
      <w:rPr>
        <w:sz w:val="20"/>
        <w:shd w:val="clear" w:color="auto" w:fill="E6E6E6"/>
      </w:rPr>
      <w:fldChar w:fldCharType="end"/>
    </w:r>
    <w:r>
      <w:rPr>
        <w:sz w:val="20"/>
      </w:rPr>
      <w:t xml:space="preserve"> of </w:t>
    </w:r>
    <w:r w:rsidR="005A0D65">
      <w:fldChar w:fldCharType="begin"/>
    </w:r>
    <w:r w:rsidR="005A0D65">
      <w:instrText xml:space="preserve"> NUMPAGES   \* MERGEFORMAT </w:instrText>
    </w:r>
    <w:r w:rsidR="005A0D65">
      <w:fldChar w:fldCharType="separate"/>
    </w:r>
    <w:r>
      <w:rPr>
        <w:sz w:val="20"/>
        <w:shd w:val="clear" w:color="auto" w:fill="E6E6E6"/>
      </w:rPr>
      <w:t>27</w:t>
    </w:r>
    <w:r w:rsidR="005A0D65">
      <w:rPr>
        <w:sz w:val="20"/>
        <w:shd w:val="clear" w:color="auto" w:fill="E6E6E6"/>
      </w:rPr>
      <w:fldChar w:fldCharType="end"/>
    </w:r>
    <w:r>
      <w:rPr>
        <w:sz w:val="20"/>
      </w:rPr>
      <w:t xml:space="preserve">  </w:t>
    </w:r>
  </w:p>
  <w:p w14:paraId="2D79590A" w14:textId="77777777" w:rsidR="007D1264" w:rsidRDefault="007D1264">
    <w:pPr>
      <w:spacing w:after="0" w:line="259" w:lineRule="auto"/>
    </w:pPr>
    <w:r>
      <w:rPr>
        <w:sz w:val="20"/>
      </w:rPr>
      <w:t xml:space="preserve">19/05/2023 </w:t>
    </w:r>
  </w:p>
  <w:p w14:paraId="2359A1F6" w14:textId="77777777" w:rsidR="007D1264" w:rsidRDefault="007D1264">
    <w:pPr>
      <w:tabs>
        <w:tab w:val="center" w:pos="4153"/>
      </w:tabs>
      <w:spacing w:after="9" w:line="259" w:lineRule="auto"/>
    </w:pPr>
    <w:r>
      <w:rPr>
        <w:sz w:val="20"/>
      </w:rPr>
      <w:t xml:space="preserve">© Crown Copyright 2020 </w:t>
    </w:r>
    <w:r>
      <w:rPr>
        <w:sz w:val="20"/>
      </w:rPr>
      <w:tab/>
      <w:t xml:space="preserve"> </w:t>
    </w:r>
  </w:p>
  <w:p w14:paraId="40A71F3A" w14:textId="77777777" w:rsidR="007D1264" w:rsidRDefault="007D1264">
    <w:pPr>
      <w:spacing w:after="0" w:line="259" w:lineRule="auto"/>
      <w:ind w:left="57"/>
      <w:jc w:val="center"/>
    </w:pPr>
    <w:r>
      <w:t xml:space="preserve"> </w:t>
    </w:r>
  </w:p>
  <w:p w14:paraId="6665CB23" w14:textId="77777777" w:rsidR="007D1264" w:rsidRDefault="007D1264">
    <w:pPr>
      <w:spacing w:after="0" w:line="259" w:lineRule="auto"/>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EFDD" w14:textId="77777777" w:rsidR="007D1264" w:rsidRDefault="007D1264">
    <w:pPr>
      <w:spacing w:after="0" w:line="259" w:lineRule="auto"/>
      <w:ind w:left="-45" w:right="36"/>
      <w:jc w:val="center"/>
    </w:pPr>
    <w:r>
      <w:rPr>
        <w:rFonts w:cs="Calibri"/>
        <w:noProof/>
      </w:rPr>
      <mc:AlternateContent>
        <mc:Choice Requires="wpg">
          <w:drawing>
            <wp:anchor distT="0" distB="0" distL="114300" distR="114300" simplePos="0" relativeHeight="251660288" behindDoc="0" locked="0" layoutInCell="1" allowOverlap="1" wp14:anchorId="3F67B35C" wp14:editId="0858B0EF">
              <wp:simplePos x="0" y="0"/>
              <wp:positionH relativeFrom="page">
                <wp:posOffset>885825</wp:posOffset>
              </wp:positionH>
              <wp:positionV relativeFrom="page">
                <wp:posOffset>9250172</wp:posOffset>
              </wp:positionV>
              <wp:extent cx="5743575" cy="9525"/>
              <wp:effectExtent l="0" t="0" r="0" b="0"/>
              <wp:wrapSquare wrapText="bothSides"/>
              <wp:docPr id="42561" name="Group 42561"/>
              <wp:cNvGraphicFramePr/>
              <a:graphic xmlns:a="http://schemas.openxmlformats.org/drawingml/2006/main">
                <a:graphicData uri="http://schemas.microsoft.com/office/word/2010/wordprocessingGroup">
                  <wpg:wgp>
                    <wpg:cNvGrpSpPr/>
                    <wpg:grpSpPr>
                      <a:xfrm>
                        <a:off x="0" y="0"/>
                        <a:ext cx="5743575" cy="9525"/>
                        <a:chOff x="0" y="0"/>
                        <a:chExt cx="5743575" cy="9525"/>
                      </a:xfrm>
                    </wpg:grpSpPr>
                    <wps:wsp>
                      <wps:cNvPr id="42562" name="Shape 42562"/>
                      <wps:cNvSpPr/>
                      <wps:spPr>
                        <a:xfrm>
                          <a:off x="0" y="0"/>
                          <a:ext cx="5743575" cy="9525"/>
                        </a:xfrm>
                        <a:custGeom>
                          <a:avLst/>
                          <a:gdLst/>
                          <a:ahLst/>
                          <a:cxnLst/>
                          <a:rect l="0" t="0" r="0" b="0"/>
                          <a:pathLst>
                            <a:path w="5743575" h="9525">
                              <a:moveTo>
                                <a:pt x="0" y="0"/>
                              </a:moveTo>
                              <a:lnTo>
                                <a:pt x="5743575" y="9525"/>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5D967C8" id="Group 42561" o:spid="_x0000_s1026" style="position:absolute;margin-left:69.75pt;margin-top:728.35pt;width:452.25pt;height:.75pt;z-index:251660288;mso-position-horizontal-relative:page;mso-position-vertical-relative:page" coordsize="5743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">
              <v:shape id="Shape 42562" o:spid="_x0000_s1027" style="position:absolute;width:57435;height:95;visibility:visible;mso-wrap-style:square;v-text-anchor:top" coordsize="5743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" path="m,l5743575,9525e" filled="f">
                <v:path arrowok="t" textboxrect="0,0,5743575,9525"/>
              </v:shape>
              <w10:wrap type="square" anchorx="page" anchory="page"/>
            </v:group>
          </w:pict>
        </mc:Fallback>
      </mc:AlternateContent>
    </w:r>
    <w:r>
      <w:t xml:space="preserve"> </w:t>
    </w:r>
  </w:p>
  <w:p w14:paraId="080BB1A7" w14:textId="77777777" w:rsidR="007D1264" w:rsidRDefault="007D1264">
    <w:pPr>
      <w:spacing w:after="0" w:line="259" w:lineRule="auto"/>
      <w:ind w:right="10"/>
      <w:jc w:val="center"/>
    </w:pPr>
    <w:r>
      <w:rPr>
        <w:sz w:val="20"/>
      </w:rPr>
      <w:t xml:space="preserve">OFFICIAL </w:t>
    </w:r>
  </w:p>
  <w:p w14:paraId="43AB0845" w14:textId="77777777" w:rsidR="007D1264" w:rsidRDefault="007D1264">
    <w:pPr>
      <w:spacing w:after="17" w:line="259" w:lineRule="auto"/>
    </w:pPr>
    <w:r>
      <w:rPr>
        <w:sz w:val="20"/>
      </w:rPr>
      <w:t xml:space="preserve">Bid pack for Provision of Permanent Recruitment for the Home Office </w:t>
    </w:r>
  </w:p>
  <w:p w14:paraId="1369062D" w14:textId="77777777" w:rsidR="007D1264" w:rsidRDefault="007D1264">
    <w:pPr>
      <w:tabs>
        <w:tab w:val="center" w:pos="3601"/>
        <w:tab w:val="center" w:pos="4321"/>
        <w:tab w:val="center" w:pos="5041"/>
        <w:tab w:val="center" w:pos="5761"/>
        <w:tab w:val="center" w:pos="6481"/>
        <w:tab w:val="center" w:pos="7768"/>
      </w:tabs>
      <w:spacing w:after="0" w:line="259" w:lineRule="auto"/>
    </w:pPr>
    <w:r>
      <w:rPr>
        <w:sz w:val="20"/>
      </w:rPr>
      <w:t>Contract Reference: CCZV22A01</w:t>
    </w:r>
    <w:r>
      <w:t xml:space="preserve"> </w:t>
    </w:r>
    <w:r>
      <w:tab/>
      <w:t xml:space="preserve"> </w:t>
    </w:r>
    <w:r>
      <w:tab/>
      <w:t xml:space="preserve"> </w:t>
    </w:r>
    <w:r>
      <w:tab/>
      <w:t xml:space="preserve"> </w:t>
    </w:r>
    <w:r>
      <w:tab/>
      <w:t xml:space="preserve"> </w:t>
    </w:r>
    <w:r>
      <w:tab/>
      <w:t xml:space="preserve"> </w:t>
    </w:r>
    <w:r>
      <w:tab/>
    </w:r>
    <w:r>
      <w:rPr>
        <w:sz w:val="20"/>
      </w:rPr>
      <w:t xml:space="preserve">Page </w:t>
    </w:r>
    <w:r>
      <w:fldChar w:fldCharType="begin"/>
    </w:r>
    <w:r>
      <w:instrText xml:space="preserve"> PAGE   \* MERGEFORMAT </w:instrText>
    </w:r>
    <w:r>
      <w:fldChar w:fldCharType="separate"/>
    </w:r>
    <w:r>
      <w:rPr>
        <w:sz w:val="20"/>
        <w:shd w:val="clear" w:color="auto" w:fill="E6E6E6"/>
      </w:rPr>
      <w:t>1</w:t>
    </w:r>
    <w:r>
      <w:rPr>
        <w:sz w:val="20"/>
        <w:shd w:val="clear" w:color="auto" w:fill="E6E6E6"/>
      </w:rPr>
      <w:fldChar w:fldCharType="end"/>
    </w:r>
    <w:r>
      <w:rPr>
        <w:sz w:val="20"/>
      </w:rPr>
      <w:t xml:space="preserve"> of </w:t>
    </w:r>
    <w:r w:rsidR="005A0D65">
      <w:fldChar w:fldCharType="begin"/>
    </w:r>
    <w:r w:rsidR="005A0D65">
      <w:instrText xml:space="preserve"> NUMPAGES   \* MERGEFORMAT </w:instrText>
    </w:r>
    <w:r w:rsidR="005A0D65">
      <w:fldChar w:fldCharType="separate"/>
    </w:r>
    <w:r>
      <w:rPr>
        <w:sz w:val="20"/>
        <w:shd w:val="clear" w:color="auto" w:fill="E6E6E6"/>
      </w:rPr>
      <w:t>27</w:t>
    </w:r>
    <w:r w:rsidR="005A0D65">
      <w:rPr>
        <w:sz w:val="20"/>
        <w:shd w:val="clear" w:color="auto" w:fill="E6E6E6"/>
      </w:rPr>
      <w:fldChar w:fldCharType="end"/>
    </w:r>
    <w:r>
      <w:rPr>
        <w:sz w:val="20"/>
      </w:rPr>
      <w:t xml:space="preserve">  </w:t>
    </w:r>
  </w:p>
  <w:p w14:paraId="3F1EAE49" w14:textId="77777777" w:rsidR="007D1264" w:rsidRDefault="007D1264">
    <w:pPr>
      <w:spacing w:after="0" w:line="259" w:lineRule="auto"/>
    </w:pPr>
    <w:r>
      <w:rPr>
        <w:sz w:val="20"/>
      </w:rPr>
      <w:t xml:space="preserve">19/05/2023 </w:t>
    </w:r>
  </w:p>
  <w:p w14:paraId="1710FA5E" w14:textId="77777777" w:rsidR="007D1264" w:rsidRDefault="007D1264">
    <w:pPr>
      <w:tabs>
        <w:tab w:val="center" w:pos="4153"/>
      </w:tabs>
      <w:spacing w:after="9" w:line="259" w:lineRule="auto"/>
    </w:pPr>
    <w:r>
      <w:rPr>
        <w:sz w:val="20"/>
      </w:rPr>
      <w:t xml:space="preserve">© Crown Copyright 2020 </w:t>
    </w:r>
    <w:r>
      <w:rPr>
        <w:sz w:val="20"/>
      </w:rPr>
      <w:tab/>
      <w:t xml:space="preserve"> </w:t>
    </w:r>
  </w:p>
  <w:p w14:paraId="0161A572" w14:textId="77777777" w:rsidR="007D1264" w:rsidRDefault="007D1264">
    <w:pPr>
      <w:spacing w:after="0" w:line="259" w:lineRule="auto"/>
      <w:ind w:left="57"/>
      <w:jc w:val="center"/>
    </w:pPr>
    <w:r>
      <w:t xml:space="preserve"> </w:t>
    </w:r>
  </w:p>
  <w:p w14:paraId="1A14A9DC" w14:textId="77777777" w:rsidR="007D1264" w:rsidRDefault="007D1264">
    <w:pPr>
      <w:spacing w:after="0" w:line="259" w:lineRule="auto"/>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75BCB" w14:textId="77777777" w:rsidR="007D1264" w:rsidRDefault="007D1264">
    <w:pPr>
      <w:spacing w:after="0" w:line="259" w:lineRule="auto"/>
      <w:ind w:left="-45" w:right="36"/>
      <w:jc w:val="center"/>
    </w:pPr>
    <w:r>
      <w:rPr>
        <w:rFonts w:cs="Calibri"/>
        <w:noProof/>
      </w:rPr>
      <mc:AlternateContent>
        <mc:Choice Requires="wpg">
          <w:drawing>
            <wp:anchor distT="0" distB="0" distL="114300" distR="114300" simplePos="0" relativeHeight="251661312" behindDoc="0" locked="0" layoutInCell="1" allowOverlap="1" wp14:anchorId="4D887280" wp14:editId="069D82C1">
              <wp:simplePos x="0" y="0"/>
              <wp:positionH relativeFrom="page">
                <wp:posOffset>885825</wp:posOffset>
              </wp:positionH>
              <wp:positionV relativeFrom="page">
                <wp:posOffset>9250172</wp:posOffset>
              </wp:positionV>
              <wp:extent cx="5743575" cy="9525"/>
              <wp:effectExtent l="0" t="0" r="0" b="0"/>
              <wp:wrapSquare wrapText="bothSides"/>
              <wp:docPr id="42503" name="Group 42503"/>
              <wp:cNvGraphicFramePr/>
              <a:graphic xmlns:a="http://schemas.openxmlformats.org/drawingml/2006/main">
                <a:graphicData uri="http://schemas.microsoft.com/office/word/2010/wordprocessingGroup">
                  <wpg:wgp>
                    <wpg:cNvGrpSpPr/>
                    <wpg:grpSpPr>
                      <a:xfrm>
                        <a:off x="0" y="0"/>
                        <a:ext cx="5743575" cy="9525"/>
                        <a:chOff x="0" y="0"/>
                        <a:chExt cx="5743575" cy="9525"/>
                      </a:xfrm>
                    </wpg:grpSpPr>
                    <wps:wsp>
                      <wps:cNvPr id="42504" name="Shape 42504"/>
                      <wps:cNvSpPr/>
                      <wps:spPr>
                        <a:xfrm>
                          <a:off x="0" y="0"/>
                          <a:ext cx="5743575" cy="9525"/>
                        </a:xfrm>
                        <a:custGeom>
                          <a:avLst/>
                          <a:gdLst/>
                          <a:ahLst/>
                          <a:cxnLst/>
                          <a:rect l="0" t="0" r="0" b="0"/>
                          <a:pathLst>
                            <a:path w="5743575" h="9525">
                              <a:moveTo>
                                <a:pt x="0" y="0"/>
                              </a:moveTo>
                              <a:lnTo>
                                <a:pt x="5743575" y="9525"/>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71C51BD" id="Group 42503" o:spid="_x0000_s1026" style="position:absolute;margin-left:69.75pt;margin-top:728.35pt;width:452.25pt;height:.75pt;z-index:251661312;mso-position-horizontal-relative:page;mso-position-vertical-relative:page" coordsize="5743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">
              <v:shape id="Shape 42504" o:spid="_x0000_s1027" style="position:absolute;width:57435;height:95;visibility:visible;mso-wrap-style:square;v-text-anchor:top" coordsize="5743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" path="m,l5743575,9525e" filled="f">
                <v:path arrowok="t" textboxrect="0,0,5743575,9525"/>
              </v:shape>
              <w10:wrap type="square" anchorx="page" anchory="page"/>
            </v:group>
          </w:pict>
        </mc:Fallback>
      </mc:AlternateContent>
    </w:r>
    <w:r>
      <w:t xml:space="preserve"> </w:t>
    </w:r>
  </w:p>
  <w:p w14:paraId="30A92DD0" w14:textId="77777777" w:rsidR="007D1264" w:rsidRDefault="007D1264">
    <w:pPr>
      <w:spacing w:after="0" w:line="259" w:lineRule="auto"/>
      <w:ind w:right="10"/>
      <w:jc w:val="center"/>
    </w:pPr>
    <w:r>
      <w:rPr>
        <w:sz w:val="20"/>
      </w:rPr>
      <w:t xml:space="preserve">OFFICIAL </w:t>
    </w:r>
  </w:p>
  <w:p w14:paraId="654F4317" w14:textId="77777777" w:rsidR="007D1264" w:rsidRDefault="007D1264">
    <w:pPr>
      <w:spacing w:after="17" w:line="259" w:lineRule="auto"/>
    </w:pPr>
    <w:r>
      <w:rPr>
        <w:sz w:val="20"/>
      </w:rPr>
      <w:t xml:space="preserve">Bid pack for Provision of Permanent Recruitment for the Home Office </w:t>
    </w:r>
  </w:p>
  <w:p w14:paraId="2CCDA63B" w14:textId="77777777" w:rsidR="007D1264" w:rsidRDefault="007D1264">
    <w:pPr>
      <w:tabs>
        <w:tab w:val="center" w:pos="3601"/>
        <w:tab w:val="center" w:pos="4321"/>
        <w:tab w:val="center" w:pos="5041"/>
        <w:tab w:val="center" w:pos="5761"/>
        <w:tab w:val="center" w:pos="6481"/>
        <w:tab w:val="center" w:pos="7768"/>
      </w:tabs>
      <w:spacing w:after="0" w:line="259" w:lineRule="auto"/>
    </w:pPr>
    <w:r>
      <w:rPr>
        <w:sz w:val="20"/>
      </w:rPr>
      <w:t>Contract Reference: CCZV22A01</w:t>
    </w:r>
    <w:r>
      <w:t xml:space="preserve"> </w:t>
    </w:r>
    <w:r>
      <w:tab/>
      <w:t xml:space="preserve"> </w:t>
    </w:r>
    <w:r>
      <w:tab/>
      <w:t xml:space="preserve"> </w:t>
    </w:r>
    <w:r>
      <w:tab/>
      <w:t xml:space="preserve"> </w:t>
    </w:r>
    <w:r>
      <w:tab/>
      <w:t xml:space="preserve"> </w:t>
    </w:r>
    <w:r>
      <w:tab/>
      <w:t xml:space="preserve"> </w:t>
    </w:r>
    <w:r>
      <w:tab/>
    </w:r>
    <w:r>
      <w:rPr>
        <w:sz w:val="20"/>
      </w:rPr>
      <w:t xml:space="preserve">Page </w:t>
    </w:r>
    <w:r>
      <w:fldChar w:fldCharType="begin"/>
    </w:r>
    <w:r>
      <w:instrText xml:space="preserve"> PAGE   \* MERGEFORMAT </w:instrText>
    </w:r>
    <w:r>
      <w:fldChar w:fldCharType="separate"/>
    </w:r>
    <w:r>
      <w:rPr>
        <w:sz w:val="20"/>
        <w:shd w:val="clear" w:color="auto" w:fill="E6E6E6"/>
      </w:rPr>
      <w:t>1</w:t>
    </w:r>
    <w:r>
      <w:rPr>
        <w:sz w:val="20"/>
        <w:shd w:val="clear" w:color="auto" w:fill="E6E6E6"/>
      </w:rPr>
      <w:fldChar w:fldCharType="end"/>
    </w:r>
    <w:r>
      <w:rPr>
        <w:sz w:val="20"/>
      </w:rPr>
      <w:t xml:space="preserve"> of </w:t>
    </w:r>
    <w:r w:rsidR="005A0D65">
      <w:fldChar w:fldCharType="begin"/>
    </w:r>
    <w:r w:rsidR="005A0D65">
      <w:instrText xml:space="preserve"> NUMPAGES   \* MERGEFORMAT </w:instrText>
    </w:r>
    <w:r w:rsidR="005A0D65">
      <w:fldChar w:fldCharType="separate"/>
    </w:r>
    <w:r>
      <w:rPr>
        <w:sz w:val="20"/>
        <w:shd w:val="clear" w:color="auto" w:fill="E6E6E6"/>
      </w:rPr>
      <w:t>27</w:t>
    </w:r>
    <w:r w:rsidR="005A0D65">
      <w:rPr>
        <w:sz w:val="20"/>
        <w:shd w:val="clear" w:color="auto" w:fill="E6E6E6"/>
      </w:rPr>
      <w:fldChar w:fldCharType="end"/>
    </w:r>
    <w:r>
      <w:rPr>
        <w:sz w:val="20"/>
      </w:rPr>
      <w:t xml:space="preserve">  </w:t>
    </w:r>
  </w:p>
  <w:p w14:paraId="686EF18F" w14:textId="77777777" w:rsidR="007D1264" w:rsidRDefault="007D1264">
    <w:pPr>
      <w:spacing w:after="0" w:line="259" w:lineRule="auto"/>
    </w:pPr>
    <w:r>
      <w:rPr>
        <w:sz w:val="20"/>
      </w:rPr>
      <w:t xml:space="preserve">19/05/2023 </w:t>
    </w:r>
  </w:p>
  <w:p w14:paraId="0335E9C6" w14:textId="77777777" w:rsidR="007D1264" w:rsidRDefault="007D1264">
    <w:pPr>
      <w:tabs>
        <w:tab w:val="center" w:pos="4153"/>
      </w:tabs>
      <w:spacing w:after="9" w:line="259" w:lineRule="auto"/>
    </w:pPr>
    <w:r>
      <w:rPr>
        <w:sz w:val="20"/>
      </w:rPr>
      <w:t xml:space="preserve">© Crown Copyright 2020 </w:t>
    </w:r>
    <w:r>
      <w:rPr>
        <w:sz w:val="20"/>
      </w:rPr>
      <w:tab/>
      <w:t xml:space="preserve"> </w:t>
    </w:r>
  </w:p>
  <w:p w14:paraId="4655F6D8" w14:textId="77777777" w:rsidR="007D1264" w:rsidRDefault="007D1264">
    <w:pPr>
      <w:spacing w:after="0" w:line="259" w:lineRule="auto"/>
      <w:ind w:left="57"/>
      <w:jc w:val="center"/>
    </w:pPr>
    <w:r>
      <w:t xml:space="preserve"> </w:t>
    </w:r>
  </w:p>
  <w:p w14:paraId="6AEB92DC" w14:textId="77777777" w:rsidR="007D1264" w:rsidRDefault="007D1264">
    <w:pPr>
      <w:spacing w:after="0" w:line="259" w:lineRule="auto"/>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A7A16" w14:textId="77777777" w:rsidR="00E82145" w:rsidRDefault="00E8214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D" w14:textId="77777777" w:rsidR="00950E45" w:rsidRDefault="00950E45">
    <w:pPr>
      <w:tabs>
        <w:tab w:val="center" w:pos="4513"/>
        <w:tab w:val="right" w:pos="9026"/>
      </w:tabs>
      <w:spacing w:after="0"/>
      <w:rPr>
        <w:rFonts w:ascii="Arial" w:eastAsia="Arial" w:hAnsi="Arial" w:cs="Arial"/>
        <w:sz w:val="20"/>
        <w:szCs w:val="20"/>
      </w:rPr>
    </w:pPr>
  </w:p>
  <w:p w14:paraId="0000000E" w14:textId="77777777" w:rsidR="00950E45" w:rsidRDefault="00F45B1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p>
  <w:p w14:paraId="0000000F" w14:textId="77777777" w:rsidR="00950E45" w:rsidRDefault="00F45B13">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10" w14:textId="77777777" w:rsidR="00950E45" w:rsidRDefault="00F45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5A7FF" w14:textId="77777777" w:rsidR="00E82145" w:rsidRDefault="00E82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3E648" w14:textId="77777777" w:rsidR="005A0D65" w:rsidRDefault="005A0D65">
      <w:pPr>
        <w:spacing w:after="0" w:line="240" w:lineRule="auto"/>
      </w:pPr>
      <w:r>
        <w:separator/>
      </w:r>
    </w:p>
  </w:footnote>
  <w:footnote w:type="continuationSeparator" w:id="0">
    <w:p w14:paraId="6B2F4D7D" w14:textId="77777777" w:rsidR="005A0D65" w:rsidRDefault="005A0D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51C2C" w14:textId="77777777" w:rsidR="00E82145" w:rsidRDefault="00E821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9" w14:textId="77777777" w:rsidR="00950E45" w:rsidRDefault="00F45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2104C7D0" w:rsidR="00950E45" w:rsidRDefault="00F45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r w:rsidR="00E82145">
      <w:rPr>
        <w:rFonts w:ascii="Arial" w:eastAsia="Arial" w:hAnsi="Arial" w:cs="Arial"/>
        <w:color w:val="000000"/>
        <w:sz w:val="20"/>
        <w:szCs w:val="20"/>
      </w:rPr>
      <w:t xml:space="preserve"> </w:t>
    </w:r>
    <w:r w:rsidR="00E82145" w:rsidRPr="00E82145">
      <w:rPr>
        <w:rFonts w:ascii="Arial" w:eastAsia="Arial" w:hAnsi="Arial" w:cs="Arial"/>
        <w:color w:val="000000"/>
        <w:sz w:val="20"/>
        <w:szCs w:val="20"/>
      </w:rPr>
      <w:t>CCZV22A01</w:t>
    </w:r>
  </w:p>
  <w:p w14:paraId="0000000B" w14:textId="77777777" w:rsidR="00950E45" w:rsidRDefault="00F45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0C" w14:textId="77777777" w:rsidR="00950E45" w:rsidRDefault="00950E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90141" w14:textId="77777777" w:rsidR="00E82145" w:rsidRDefault="00E82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6A76"/>
    <w:multiLevelType w:val="multilevel"/>
    <w:tmpl w:val="E9B2D268"/>
    <w:lvl w:ilvl="0">
      <w:start w:val="3"/>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9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D069F6"/>
    <w:multiLevelType w:val="hybridMultilevel"/>
    <w:tmpl w:val="826A9F3A"/>
    <w:lvl w:ilvl="0" w:tplc="22A0D27E">
      <w:start w:val="14"/>
      <w:numFmt w:val="lowerLetter"/>
      <w:lvlText w:val="(%1)"/>
      <w:lvlJc w:val="left"/>
      <w:pPr>
        <w:ind w:left="21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BF4A522">
      <w:start w:val="1"/>
      <w:numFmt w:val="lowerLetter"/>
      <w:lvlText w:val="%2"/>
      <w:lvlJc w:val="left"/>
      <w:pPr>
        <w:ind w:left="17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84FE40">
      <w:start w:val="1"/>
      <w:numFmt w:val="lowerRoman"/>
      <w:lvlText w:val="%3"/>
      <w:lvlJc w:val="left"/>
      <w:pPr>
        <w:ind w:left="24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0DAA5CA">
      <w:start w:val="1"/>
      <w:numFmt w:val="decimal"/>
      <w:lvlText w:val="%4"/>
      <w:lvlJc w:val="left"/>
      <w:pPr>
        <w:ind w:left="31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7B438D4">
      <w:start w:val="1"/>
      <w:numFmt w:val="lowerLetter"/>
      <w:lvlText w:val="%5"/>
      <w:lvlJc w:val="left"/>
      <w:pPr>
        <w:ind w:left="39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21CD62C">
      <w:start w:val="1"/>
      <w:numFmt w:val="lowerRoman"/>
      <w:lvlText w:val="%6"/>
      <w:lvlJc w:val="left"/>
      <w:pPr>
        <w:ind w:left="46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6E7734">
      <w:start w:val="1"/>
      <w:numFmt w:val="decimal"/>
      <w:lvlText w:val="%7"/>
      <w:lvlJc w:val="left"/>
      <w:pPr>
        <w:ind w:left="53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FF0CC3A">
      <w:start w:val="1"/>
      <w:numFmt w:val="lowerLetter"/>
      <w:lvlText w:val="%8"/>
      <w:lvlJc w:val="left"/>
      <w:pPr>
        <w:ind w:left="6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D8C2D56">
      <w:start w:val="1"/>
      <w:numFmt w:val="lowerRoman"/>
      <w:lvlText w:val="%9"/>
      <w:lvlJc w:val="left"/>
      <w:pPr>
        <w:ind w:left="67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DE37298"/>
    <w:multiLevelType w:val="hybridMultilevel"/>
    <w:tmpl w:val="0DBC2D2E"/>
    <w:lvl w:ilvl="0" w:tplc="81D2F944">
      <w:start w:val="1"/>
      <w:numFmt w:val="bullet"/>
      <w:lvlText w:val="•"/>
      <w:lvlJc w:val="left"/>
      <w:pPr>
        <w:ind w:left="11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336B072">
      <w:start w:val="1"/>
      <w:numFmt w:val="bullet"/>
      <w:lvlText w:val="o"/>
      <w:lvlJc w:val="left"/>
      <w:pPr>
        <w:ind w:left="22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AAC4C76">
      <w:start w:val="1"/>
      <w:numFmt w:val="bullet"/>
      <w:lvlText w:val="▪"/>
      <w:lvlJc w:val="left"/>
      <w:pPr>
        <w:ind w:left="29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148F756">
      <w:start w:val="1"/>
      <w:numFmt w:val="bullet"/>
      <w:lvlText w:val="•"/>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54A458">
      <w:start w:val="1"/>
      <w:numFmt w:val="bullet"/>
      <w:lvlText w:val="o"/>
      <w:lvlJc w:val="left"/>
      <w:pPr>
        <w:ind w:left="43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940B276">
      <w:start w:val="1"/>
      <w:numFmt w:val="bullet"/>
      <w:lvlText w:val="▪"/>
      <w:lvlJc w:val="left"/>
      <w:pPr>
        <w:ind w:left="50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18BA24">
      <w:start w:val="1"/>
      <w:numFmt w:val="bullet"/>
      <w:lvlText w:val="•"/>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ECFF6C">
      <w:start w:val="1"/>
      <w:numFmt w:val="bullet"/>
      <w:lvlText w:val="o"/>
      <w:lvlJc w:val="left"/>
      <w:pPr>
        <w:ind w:left="65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720D966">
      <w:start w:val="1"/>
      <w:numFmt w:val="bullet"/>
      <w:lvlText w:val="▪"/>
      <w:lvlJc w:val="left"/>
      <w:pPr>
        <w:ind w:left="72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E230E84"/>
    <w:multiLevelType w:val="hybridMultilevel"/>
    <w:tmpl w:val="3DBE1B2C"/>
    <w:lvl w:ilvl="0" w:tplc="E480999A">
      <w:start w:val="1"/>
      <w:numFmt w:val="lowerLetter"/>
      <w:lvlText w:val="%1."/>
      <w:lvlJc w:val="left"/>
      <w:pPr>
        <w:ind w:left="21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0C86C8A">
      <w:start w:val="1"/>
      <w:numFmt w:val="lowerLetter"/>
      <w:lvlText w:val="%2"/>
      <w:lvlJc w:val="left"/>
      <w:pPr>
        <w:ind w:left="28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9E67CEA">
      <w:start w:val="1"/>
      <w:numFmt w:val="lowerRoman"/>
      <w:lvlText w:val="%3"/>
      <w:lvlJc w:val="left"/>
      <w:pPr>
        <w:ind w:left="35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B414C8">
      <w:start w:val="1"/>
      <w:numFmt w:val="decimal"/>
      <w:lvlText w:val="%4"/>
      <w:lvlJc w:val="left"/>
      <w:pPr>
        <w:ind w:left="42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7E7096">
      <w:start w:val="1"/>
      <w:numFmt w:val="lowerLetter"/>
      <w:lvlText w:val="%5"/>
      <w:lvlJc w:val="left"/>
      <w:pPr>
        <w:ind w:left="50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4869DAC">
      <w:start w:val="1"/>
      <w:numFmt w:val="lowerRoman"/>
      <w:lvlText w:val="%6"/>
      <w:lvlJc w:val="left"/>
      <w:pPr>
        <w:ind w:left="57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984F1A">
      <w:start w:val="1"/>
      <w:numFmt w:val="decimal"/>
      <w:lvlText w:val="%7"/>
      <w:lvlJc w:val="left"/>
      <w:pPr>
        <w:ind w:left="64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A21C56">
      <w:start w:val="1"/>
      <w:numFmt w:val="lowerLetter"/>
      <w:lvlText w:val="%8"/>
      <w:lvlJc w:val="left"/>
      <w:pPr>
        <w:ind w:left="71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33642A4">
      <w:start w:val="1"/>
      <w:numFmt w:val="lowerRoman"/>
      <w:lvlText w:val="%9"/>
      <w:lvlJc w:val="left"/>
      <w:pPr>
        <w:ind w:left="78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EF879E9"/>
    <w:multiLevelType w:val="hybridMultilevel"/>
    <w:tmpl w:val="567EB4F2"/>
    <w:lvl w:ilvl="0" w:tplc="4D82F490">
      <w:start w:val="1"/>
      <w:numFmt w:val="upperLetter"/>
      <w:lvlText w:val="%1."/>
      <w:lvlJc w:val="left"/>
      <w:pPr>
        <w:ind w:left="18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8F2433E">
      <w:start w:val="1"/>
      <w:numFmt w:val="lowerLetter"/>
      <w:lvlText w:val="%2"/>
      <w:lvlJc w:val="left"/>
      <w:pPr>
        <w:ind w:left="14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374878C">
      <w:start w:val="1"/>
      <w:numFmt w:val="lowerRoman"/>
      <w:lvlText w:val="%3"/>
      <w:lvlJc w:val="left"/>
      <w:pPr>
        <w:ind w:left="21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6C9A36">
      <w:start w:val="1"/>
      <w:numFmt w:val="decimal"/>
      <w:lvlText w:val="%4"/>
      <w:lvlJc w:val="left"/>
      <w:pPr>
        <w:ind w:left="28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A588CB2">
      <w:start w:val="1"/>
      <w:numFmt w:val="lowerLetter"/>
      <w:lvlText w:val="%5"/>
      <w:lvlJc w:val="left"/>
      <w:pPr>
        <w:ind w:left="36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8CE36AC">
      <w:start w:val="1"/>
      <w:numFmt w:val="lowerRoman"/>
      <w:lvlText w:val="%6"/>
      <w:lvlJc w:val="left"/>
      <w:pPr>
        <w:ind w:left="43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87235E2">
      <w:start w:val="1"/>
      <w:numFmt w:val="decimal"/>
      <w:lvlText w:val="%7"/>
      <w:lvlJc w:val="left"/>
      <w:pPr>
        <w:ind w:left="50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4A5A14">
      <w:start w:val="1"/>
      <w:numFmt w:val="lowerLetter"/>
      <w:lvlText w:val="%8"/>
      <w:lvlJc w:val="left"/>
      <w:pPr>
        <w:ind w:left="57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C68E908">
      <w:start w:val="1"/>
      <w:numFmt w:val="lowerRoman"/>
      <w:lvlText w:val="%9"/>
      <w:lvlJc w:val="left"/>
      <w:pPr>
        <w:ind w:left="64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78C5F3D"/>
    <w:multiLevelType w:val="hybridMultilevel"/>
    <w:tmpl w:val="CFD0F790"/>
    <w:lvl w:ilvl="0" w:tplc="DE4458B4">
      <w:start w:val="1"/>
      <w:numFmt w:val="lowerLetter"/>
      <w:lvlText w:val="(%1)"/>
      <w:lvlJc w:val="left"/>
      <w:pPr>
        <w:ind w:left="1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096185E">
      <w:start w:val="1"/>
      <w:numFmt w:val="lowerLetter"/>
      <w:lvlText w:val="%2"/>
      <w:lvlJc w:val="left"/>
      <w:pPr>
        <w:ind w:left="17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984D924">
      <w:start w:val="1"/>
      <w:numFmt w:val="lowerRoman"/>
      <w:lvlText w:val="%3"/>
      <w:lvlJc w:val="left"/>
      <w:pPr>
        <w:ind w:left="24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908630">
      <w:start w:val="1"/>
      <w:numFmt w:val="decimal"/>
      <w:lvlText w:val="%4"/>
      <w:lvlJc w:val="left"/>
      <w:pPr>
        <w:ind w:left="31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E644E38">
      <w:start w:val="1"/>
      <w:numFmt w:val="lowerLetter"/>
      <w:lvlText w:val="%5"/>
      <w:lvlJc w:val="left"/>
      <w:pPr>
        <w:ind w:left="39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8302F3A">
      <w:start w:val="1"/>
      <w:numFmt w:val="lowerRoman"/>
      <w:lvlText w:val="%6"/>
      <w:lvlJc w:val="left"/>
      <w:pPr>
        <w:ind w:left="46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6B0E46A">
      <w:start w:val="1"/>
      <w:numFmt w:val="decimal"/>
      <w:lvlText w:val="%7"/>
      <w:lvlJc w:val="left"/>
      <w:pPr>
        <w:ind w:left="53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3548232">
      <w:start w:val="1"/>
      <w:numFmt w:val="lowerLetter"/>
      <w:lvlText w:val="%8"/>
      <w:lvlJc w:val="left"/>
      <w:pPr>
        <w:ind w:left="6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CBCAFA4">
      <w:start w:val="1"/>
      <w:numFmt w:val="lowerRoman"/>
      <w:lvlText w:val="%9"/>
      <w:lvlJc w:val="left"/>
      <w:pPr>
        <w:ind w:left="67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05D2963"/>
    <w:multiLevelType w:val="multilevel"/>
    <w:tmpl w:val="0694D61E"/>
    <w:lvl w:ilvl="0">
      <w:start w:val="3"/>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2BE3710"/>
    <w:multiLevelType w:val="hybridMultilevel"/>
    <w:tmpl w:val="3EBC2398"/>
    <w:lvl w:ilvl="0" w:tplc="D7963178">
      <w:start w:val="1"/>
      <w:numFmt w:val="upperLetter"/>
      <w:lvlText w:val="%1."/>
      <w:lvlJc w:val="left"/>
      <w:pPr>
        <w:ind w:left="1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2BA6CDC">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DE2AEF4">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D98697C">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5AC2EBE">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6B2C08C">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0C2132">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6A4E3D4">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BC4F3AA">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03012D6"/>
    <w:multiLevelType w:val="hybridMultilevel"/>
    <w:tmpl w:val="A574C928"/>
    <w:lvl w:ilvl="0" w:tplc="A972E880">
      <w:start w:val="1"/>
      <w:numFmt w:val="lowerLetter"/>
      <w:lvlText w:val="%1."/>
      <w:lvlJc w:val="left"/>
      <w:pPr>
        <w:ind w:left="15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3EEC92">
      <w:start w:val="1"/>
      <w:numFmt w:val="lowerLetter"/>
      <w:lvlText w:val="%2"/>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9CA405A">
      <w:start w:val="1"/>
      <w:numFmt w:val="lowerRoman"/>
      <w:lvlText w:val="%3"/>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1A88A18">
      <w:start w:val="1"/>
      <w:numFmt w:val="decimal"/>
      <w:lvlText w:val="%4"/>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32E672">
      <w:start w:val="1"/>
      <w:numFmt w:val="lowerLetter"/>
      <w:lvlText w:val="%5"/>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5EE353C">
      <w:start w:val="1"/>
      <w:numFmt w:val="lowerRoman"/>
      <w:lvlText w:val="%6"/>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0C870A">
      <w:start w:val="1"/>
      <w:numFmt w:val="decimal"/>
      <w:lvlText w:val="%7"/>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D40C116">
      <w:start w:val="1"/>
      <w:numFmt w:val="lowerLetter"/>
      <w:lvlText w:val="%8"/>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066C384">
      <w:start w:val="1"/>
      <w:numFmt w:val="lowerRoman"/>
      <w:lvlText w:val="%9"/>
      <w:lvlJc w:val="left"/>
      <w:pPr>
        <w:ind w:left="7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81A3692"/>
    <w:multiLevelType w:val="multilevel"/>
    <w:tmpl w:val="8F44CE9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D4D26BD"/>
    <w:multiLevelType w:val="hybridMultilevel"/>
    <w:tmpl w:val="C108E46E"/>
    <w:lvl w:ilvl="0" w:tplc="0F105414">
      <w:start w:val="1"/>
      <w:numFmt w:val="lowerLetter"/>
      <w:lvlText w:val="%1)"/>
      <w:lvlJc w:val="left"/>
      <w:pPr>
        <w:ind w:left="3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5E6824">
      <w:start w:val="1"/>
      <w:numFmt w:val="lowerLetter"/>
      <w:lvlText w:val="%2"/>
      <w:lvlJc w:val="left"/>
      <w:pPr>
        <w:ind w:left="1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42E30A">
      <w:start w:val="1"/>
      <w:numFmt w:val="lowerRoman"/>
      <w:lvlText w:val="%3"/>
      <w:lvlJc w:val="left"/>
      <w:pPr>
        <w:ind w:left="1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0AF5AC">
      <w:start w:val="1"/>
      <w:numFmt w:val="decimal"/>
      <w:lvlText w:val="%4"/>
      <w:lvlJc w:val="left"/>
      <w:pPr>
        <w:ind w:left="2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E64A86">
      <w:start w:val="1"/>
      <w:numFmt w:val="lowerLetter"/>
      <w:lvlText w:val="%5"/>
      <w:lvlJc w:val="left"/>
      <w:pPr>
        <w:ind w:left="3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00AA7DE">
      <w:start w:val="1"/>
      <w:numFmt w:val="lowerRoman"/>
      <w:lvlText w:val="%6"/>
      <w:lvlJc w:val="left"/>
      <w:pPr>
        <w:ind w:left="4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E760FFE">
      <w:start w:val="1"/>
      <w:numFmt w:val="decimal"/>
      <w:lvlText w:val="%7"/>
      <w:lvlJc w:val="left"/>
      <w:pPr>
        <w:ind w:left="4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ACA39C">
      <w:start w:val="1"/>
      <w:numFmt w:val="lowerLetter"/>
      <w:lvlText w:val="%8"/>
      <w:lvlJc w:val="left"/>
      <w:pPr>
        <w:ind w:left="55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D543B98">
      <w:start w:val="1"/>
      <w:numFmt w:val="lowerRoman"/>
      <w:lvlText w:val="%9"/>
      <w:lvlJc w:val="left"/>
      <w:pPr>
        <w:ind w:left="62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DCD53B3"/>
    <w:multiLevelType w:val="hybridMultilevel"/>
    <w:tmpl w:val="9F421A0C"/>
    <w:lvl w:ilvl="0" w:tplc="94DEAF3C">
      <w:start w:val="1"/>
      <w:numFmt w:val="upperLetter"/>
      <w:lvlText w:val="%1."/>
      <w:lvlJc w:val="left"/>
      <w:pPr>
        <w:ind w:left="1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C2E3AB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ABA4AA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7E8B9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A38D4E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29E929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39658B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DFCDE0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C275E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2F35317"/>
    <w:multiLevelType w:val="multilevel"/>
    <w:tmpl w:val="AC023D24"/>
    <w:lvl w:ilvl="0">
      <w:start w:val="3"/>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9"/>
      <w:numFmt w:val="decimal"/>
      <w:lvlRestart w:val="0"/>
      <w:lvlText w:val="%1.%2"/>
      <w:lvlJc w:val="left"/>
      <w:pPr>
        <w:ind w:left="1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2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9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6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3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0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8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5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8A37204"/>
    <w:multiLevelType w:val="hybridMultilevel"/>
    <w:tmpl w:val="870EAE62"/>
    <w:lvl w:ilvl="0" w:tplc="70DE82A0">
      <w:start w:val="1"/>
      <w:numFmt w:val="lowerLetter"/>
      <w:lvlText w:val="%1)"/>
      <w:lvlJc w:val="left"/>
      <w:pPr>
        <w:ind w:left="21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EDCC874">
      <w:start w:val="1"/>
      <w:numFmt w:val="lowerLetter"/>
      <w:lvlText w:val="%2"/>
      <w:lvlJc w:val="left"/>
      <w:pPr>
        <w:ind w:left="23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46EDA6">
      <w:start w:val="1"/>
      <w:numFmt w:val="lowerRoman"/>
      <w:lvlText w:val="%3"/>
      <w:lvlJc w:val="left"/>
      <w:pPr>
        <w:ind w:left="30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216E9E0">
      <w:start w:val="1"/>
      <w:numFmt w:val="decimal"/>
      <w:lvlText w:val="%4"/>
      <w:lvlJc w:val="left"/>
      <w:pPr>
        <w:ind w:left="3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F68038">
      <w:start w:val="1"/>
      <w:numFmt w:val="lowerLetter"/>
      <w:lvlText w:val="%5"/>
      <w:lvlJc w:val="left"/>
      <w:pPr>
        <w:ind w:left="4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F04360">
      <w:start w:val="1"/>
      <w:numFmt w:val="lowerRoman"/>
      <w:lvlText w:val="%6"/>
      <w:lvlJc w:val="left"/>
      <w:pPr>
        <w:ind w:left="5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9E0E75C">
      <w:start w:val="1"/>
      <w:numFmt w:val="decimal"/>
      <w:lvlText w:val="%7"/>
      <w:lvlJc w:val="left"/>
      <w:pPr>
        <w:ind w:left="5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4EDE14">
      <w:start w:val="1"/>
      <w:numFmt w:val="lowerLetter"/>
      <w:lvlText w:val="%8"/>
      <w:lvlJc w:val="left"/>
      <w:pPr>
        <w:ind w:left="6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9C2F8DC">
      <w:start w:val="1"/>
      <w:numFmt w:val="lowerRoman"/>
      <w:lvlText w:val="%9"/>
      <w:lvlJc w:val="left"/>
      <w:pPr>
        <w:ind w:left="7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FD76468"/>
    <w:multiLevelType w:val="hybridMultilevel"/>
    <w:tmpl w:val="530A032E"/>
    <w:lvl w:ilvl="0" w:tplc="678261E8">
      <w:start w:val="1"/>
      <w:numFmt w:val="lowerLetter"/>
      <w:lvlText w:val="(%1)"/>
      <w:lvlJc w:val="left"/>
      <w:pPr>
        <w:ind w:left="11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02E3FE8">
      <w:start w:val="1"/>
      <w:numFmt w:val="lowerLetter"/>
      <w:lvlText w:val="%2"/>
      <w:lvlJc w:val="left"/>
      <w:pPr>
        <w:ind w:left="16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B3E14F0">
      <w:start w:val="1"/>
      <w:numFmt w:val="lowerRoman"/>
      <w:lvlText w:val="%3"/>
      <w:lvlJc w:val="left"/>
      <w:pPr>
        <w:ind w:left="23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CC3FCC">
      <w:start w:val="1"/>
      <w:numFmt w:val="decimal"/>
      <w:lvlText w:val="%4"/>
      <w:lvlJc w:val="left"/>
      <w:pPr>
        <w:ind w:left="30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E640ACC">
      <w:start w:val="1"/>
      <w:numFmt w:val="lowerLetter"/>
      <w:lvlText w:val="%5"/>
      <w:lvlJc w:val="left"/>
      <w:pPr>
        <w:ind w:left="3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28C0B4">
      <w:start w:val="1"/>
      <w:numFmt w:val="lowerRoman"/>
      <w:lvlText w:val="%6"/>
      <w:lvlJc w:val="left"/>
      <w:pPr>
        <w:ind w:left="4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452672E">
      <w:start w:val="1"/>
      <w:numFmt w:val="decimal"/>
      <w:lvlText w:val="%7"/>
      <w:lvlJc w:val="left"/>
      <w:pPr>
        <w:ind w:left="5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FC506C">
      <w:start w:val="1"/>
      <w:numFmt w:val="lowerLetter"/>
      <w:lvlText w:val="%8"/>
      <w:lvlJc w:val="left"/>
      <w:pPr>
        <w:ind w:left="5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D225628">
      <w:start w:val="1"/>
      <w:numFmt w:val="lowerRoman"/>
      <w:lvlText w:val="%9"/>
      <w:lvlJc w:val="left"/>
      <w:pPr>
        <w:ind w:left="6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1300AA3"/>
    <w:multiLevelType w:val="hybridMultilevel"/>
    <w:tmpl w:val="7960F290"/>
    <w:lvl w:ilvl="0" w:tplc="05700772">
      <w:start w:val="1"/>
      <w:numFmt w:val="lowerLetter"/>
      <w:lvlText w:val="(%1)"/>
      <w:lvlJc w:val="left"/>
      <w:pPr>
        <w:ind w:left="1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92199C">
      <w:start w:val="1"/>
      <w:numFmt w:val="lowerLetter"/>
      <w:lvlText w:val="%2"/>
      <w:lvlJc w:val="left"/>
      <w:pPr>
        <w:ind w:left="17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820C552">
      <w:start w:val="1"/>
      <w:numFmt w:val="lowerRoman"/>
      <w:lvlText w:val="%3"/>
      <w:lvlJc w:val="left"/>
      <w:pPr>
        <w:ind w:left="24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8C4AB4A">
      <w:start w:val="1"/>
      <w:numFmt w:val="decimal"/>
      <w:lvlText w:val="%4"/>
      <w:lvlJc w:val="left"/>
      <w:pPr>
        <w:ind w:left="31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7ECB366">
      <w:start w:val="1"/>
      <w:numFmt w:val="lowerLetter"/>
      <w:lvlText w:val="%5"/>
      <w:lvlJc w:val="left"/>
      <w:pPr>
        <w:ind w:left="39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B8C68EA">
      <w:start w:val="1"/>
      <w:numFmt w:val="lowerRoman"/>
      <w:lvlText w:val="%6"/>
      <w:lvlJc w:val="left"/>
      <w:pPr>
        <w:ind w:left="46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39CD8C0">
      <w:start w:val="1"/>
      <w:numFmt w:val="decimal"/>
      <w:lvlText w:val="%7"/>
      <w:lvlJc w:val="left"/>
      <w:pPr>
        <w:ind w:left="53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C226EE">
      <w:start w:val="1"/>
      <w:numFmt w:val="lowerLetter"/>
      <w:lvlText w:val="%8"/>
      <w:lvlJc w:val="left"/>
      <w:pPr>
        <w:ind w:left="6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7058B2">
      <w:start w:val="1"/>
      <w:numFmt w:val="lowerRoman"/>
      <w:lvlText w:val="%9"/>
      <w:lvlJc w:val="left"/>
      <w:pPr>
        <w:ind w:left="67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89668F2"/>
    <w:multiLevelType w:val="hybridMultilevel"/>
    <w:tmpl w:val="BEA8DB92"/>
    <w:lvl w:ilvl="0" w:tplc="FE84AD2E">
      <w:start w:val="2"/>
      <w:numFmt w:val="upperLetter"/>
      <w:lvlText w:val="%1."/>
      <w:lvlJc w:val="left"/>
      <w:pPr>
        <w:ind w:left="1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8A6778">
      <w:start w:val="1"/>
      <w:numFmt w:val="lowerLetter"/>
      <w:lvlText w:val="%2"/>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FF88222">
      <w:start w:val="1"/>
      <w:numFmt w:val="lowerRoman"/>
      <w:lvlText w:val="%3"/>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EA63DE">
      <w:start w:val="1"/>
      <w:numFmt w:val="decimal"/>
      <w:lvlText w:val="%4"/>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916F20E">
      <w:start w:val="1"/>
      <w:numFmt w:val="lowerLetter"/>
      <w:lvlText w:val="%5"/>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D4C0CE2">
      <w:start w:val="1"/>
      <w:numFmt w:val="lowerRoman"/>
      <w:lvlText w:val="%6"/>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A22192">
      <w:start w:val="1"/>
      <w:numFmt w:val="decimal"/>
      <w:lvlText w:val="%7"/>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0CC704">
      <w:start w:val="1"/>
      <w:numFmt w:val="lowerLetter"/>
      <w:lvlText w:val="%8"/>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CACDCE0">
      <w:start w:val="1"/>
      <w:numFmt w:val="lowerRoman"/>
      <w:lvlText w:val="%9"/>
      <w:lvlJc w:val="left"/>
      <w:pPr>
        <w:ind w:left="7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14"/>
  </w:num>
  <w:num w:numId="7">
    <w:abstractNumId w:val="12"/>
  </w:num>
  <w:num w:numId="8">
    <w:abstractNumId w:val="0"/>
  </w:num>
  <w:num w:numId="9">
    <w:abstractNumId w:val="7"/>
  </w:num>
  <w:num w:numId="10">
    <w:abstractNumId w:val="5"/>
  </w:num>
  <w:num w:numId="11">
    <w:abstractNumId w:val="13"/>
  </w:num>
  <w:num w:numId="12">
    <w:abstractNumId w:val="11"/>
  </w:num>
  <w:num w:numId="13">
    <w:abstractNumId w:val="15"/>
  </w:num>
  <w:num w:numId="14">
    <w:abstractNumId w:val="1"/>
  </w:num>
  <w:num w:numId="15">
    <w:abstractNumId w:val="8"/>
  </w:num>
  <w:num w:numId="16">
    <w:abstractNumId w:val="3"/>
  </w:num>
  <w:num w:numId="17">
    <w:abstractNumId w:val="16"/>
  </w:num>
  <w:num w:numId="18">
    <w:abstractNumId w:val="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E45"/>
    <w:rsid w:val="000C20DE"/>
    <w:rsid w:val="003F4ED0"/>
    <w:rsid w:val="004C0766"/>
    <w:rsid w:val="005A0D65"/>
    <w:rsid w:val="007D1264"/>
    <w:rsid w:val="009260D8"/>
    <w:rsid w:val="00950E45"/>
    <w:rsid w:val="00C46DA1"/>
    <w:rsid w:val="00D51210"/>
    <w:rsid w:val="00DA2091"/>
    <w:rsid w:val="00E82145"/>
    <w:rsid w:val="00EE2C0D"/>
    <w:rsid w:val="00F45B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AABBE"/>
  <w15:docId w15:val="{37330422-4114-411E-A70C-5169DBCF7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OC1">
    <w:name w:val="toc 1"/>
    <w:hidden/>
    <w:rsid w:val="007D1264"/>
    <w:pPr>
      <w:spacing w:after="95" w:line="259" w:lineRule="auto"/>
      <w:ind w:left="31" w:right="24" w:hanging="10"/>
    </w:pPr>
    <w:rPr>
      <w:rFonts w:ascii="Arial" w:eastAsia="Arial" w:hAnsi="Arial" w:cs="Arial"/>
      <w:color w:val="000000"/>
    </w:rPr>
  </w:style>
  <w:style w:type="table" w:customStyle="1" w:styleId="TableGrid0">
    <w:name w:val="TableGrid"/>
    <w:rsid w:val="007D1264"/>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gov.uk/government/organisations/home-office" TargetMode="External"/><Relationship Id="rId18" Type="http://schemas.openxmlformats.org/officeDocument/2006/relationships/hyperlink" Target="https://civilservicecommission.independent.gov.uk/recruitment/recruitment-principles/" TargetMode="External"/><Relationship Id="rId26" Type="http://schemas.openxmlformats.org/officeDocument/2006/relationships/hyperlink" Target="https://www.gov.uk/service-manual/helping-people-to-use-your-service/understanding-wcag" TargetMode="External"/><Relationship Id="rId39" Type="http://schemas.openxmlformats.org/officeDocument/2006/relationships/hyperlink" Target="http://civilservicecommission.independent.gov.uk/civil-service-recruitment/" TargetMode="External"/><Relationship Id="rId21" Type="http://schemas.openxmlformats.org/officeDocument/2006/relationships/hyperlink" Target="https://civilservicecommission.independent.gov.uk/recruitment/recruitment-principles/" TargetMode="External"/><Relationship Id="rId34" Type="http://schemas.openxmlformats.org/officeDocument/2006/relationships/hyperlink" Target="https://careers.homeoffice.gov.uk/" TargetMode="External"/><Relationship Id="rId42" Type="http://schemas.openxmlformats.org/officeDocument/2006/relationships/hyperlink" Target="http://civilservicecommission.independent.gov.uk/civil-service-recruitment/" TargetMode="External"/><Relationship Id="rId47" Type="http://schemas.openxmlformats.org/officeDocument/2006/relationships/hyperlink" Target="https://www.gov.uk/government/publications/a-brilliant-civil-service-becoming-the-uks-most-inclusive-employer" TargetMode="External"/><Relationship Id="rId50" Type="http://schemas.openxmlformats.org/officeDocument/2006/relationships/hyperlink" Target="https://www.gov.uk/government/publications/a-brilliant-civil-service-becoming-the-uks-most-inclusive-employer" TargetMode="External"/><Relationship Id="rId55" Type="http://schemas.openxmlformats.org/officeDocument/2006/relationships/hyperlink" Target="https://www.gov.uk/government/publications/a-brilliant-civil-service-becoming-the-uks-most-inclusive-employer" TargetMode="External"/><Relationship Id="rId63" Type="http://schemas.openxmlformats.org/officeDocument/2006/relationships/hyperlink" Target="https://www.gov.uk/government/publications/a-brilliant-civil-service-becoming-the-uks-most-inclusive-employer" TargetMode="External"/><Relationship Id="rId68"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gov.uk/government/organisations/home-office" TargetMode="External"/><Relationship Id="rId29" Type="http://schemas.openxmlformats.org/officeDocument/2006/relationships/hyperlink" Target="https://www.gov.uk/service-manual/helping-people-to-use-your-service/understanding-wcag" TargetMode="External"/><Relationship Id="rId11" Type="http://schemas.openxmlformats.org/officeDocument/2006/relationships/image" Target="media/image1.png"/><Relationship Id="rId24" Type="http://schemas.openxmlformats.org/officeDocument/2006/relationships/hyperlink" Target="https://www.gov.uk/service-manual/helping-people-to-use-your-service/understanding-wcag" TargetMode="External"/><Relationship Id="rId32" Type="http://schemas.openxmlformats.org/officeDocument/2006/relationships/hyperlink" Target="https://careers.homeoffice.gov.uk/" TargetMode="External"/><Relationship Id="rId37" Type="http://schemas.openxmlformats.org/officeDocument/2006/relationships/hyperlink" Target="https://careers.homeoffice.gov.uk/" TargetMode="External"/><Relationship Id="rId40" Type="http://schemas.openxmlformats.org/officeDocument/2006/relationships/hyperlink" Target="http://civilservicecommission.independent.gov.uk/civil-service-recruitment/" TargetMode="External"/><Relationship Id="rId45" Type="http://schemas.openxmlformats.org/officeDocument/2006/relationships/hyperlink" Target="https://www.gov.uk/government/publications/a-brilliant-civil-service-becoming-the-uks-most-inclusive-employer" TargetMode="External"/><Relationship Id="rId53" Type="http://schemas.openxmlformats.org/officeDocument/2006/relationships/hyperlink" Target="https://www.gov.uk/government/publications/a-brilliant-civil-service-becoming-the-uks-most-inclusive-employer" TargetMode="External"/><Relationship Id="rId58" Type="http://schemas.openxmlformats.org/officeDocument/2006/relationships/hyperlink" Target="https://www.gov.uk/government/publications/a-brilliant-civil-service-becoming-the-uks-most-inclusive-employer" TargetMode="External"/><Relationship Id="rId66" Type="http://schemas.openxmlformats.org/officeDocument/2006/relationships/footer" Target="footer3.xml"/><Relationship Id="rId7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gov.uk/government/organisations/home-office" TargetMode="External"/><Relationship Id="rId23" Type="http://schemas.openxmlformats.org/officeDocument/2006/relationships/hyperlink" Target="https://www.gov.uk/service-manual/helping-people-to-use-your-service/understanding-wcag" TargetMode="External"/><Relationship Id="rId28" Type="http://schemas.openxmlformats.org/officeDocument/2006/relationships/hyperlink" Target="https://www.gov.uk/service-manual/helping-people-to-use-your-service/understanding-wcag" TargetMode="External"/><Relationship Id="rId36" Type="http://schemas.openxmlformats.org/officeDocument/2006/relationships/hyperlink" Target="https://careers.homeoffice.gov.uk/" TargetMode="External"/><Relationship Id="rId49" Type="http://schemas.openxmlformats.org/officeDocument/2006/relationships/hyperlink" Target="https://www.gov.uk/government/publications/a-brilliant-civil-service-becoming-the-uks-most-inclusive-employer" TargetMode="External"/><Relationship Id="rId57" Type="http://schemas.openxmlformats.org/officeDocument/2006/relationships/hyperlink" Target="https://www.gov.uk/government/publications/a-brilliant-civil-service-becoming-the-uks-most-inclusive-employer" TargetMode="External"/><Relationship Id="rId61" Type="http://schemas.openxmlformats.org/officeDocument/2006/relationships/hyperlink" Target="https://www.gov.uk/government/publications/a-brilliant-civil-service-becoming-the-uks-most-inclusive-employer" TargetMode="External"/><Relationship Id="rId10" Type="http://schemas.openxmlformats.org/officeDocument/2006/relationships/endnotes" Target="endnotes.xml"/><Relationship Id="rId19" Type="http://schemas.openxmlformats.org/officeDocument/2006/relationships/hyperlink" Target="https://civilservicecommission.independent.gov.uk/recruitment/recruitment-principles/" TargetMode="External"/><Relationship Id="rId31" Type="http://schemas.openxmlformats.org/officeDocument/2006/relationships/hyperlink" Target="https://careers.homeoffice.gov.uk/" TargetMode="External"/><Relationship Id="rId44" Type="http://schemas.openxmlformats.org/officeDocument/2006/relationships/hyperlink" Target="https://www.gov.uk/government/publications/a-brilliant-civil-service-becoming-the-uks-most-inclusive-employer" TargetMode="External"/><Relationship Id="rId52" Type="http://schemas.openxmlformats.org/officeDocument/2006/relationships/hyperlink" Target="https://www.gov.uk/government/publications/a-brilliant-civil-service-becoming-the-uks-most-inclusive-employer" TargetMode="External"/><Relationship Id="rId60" Type="http://schemas.openxmlformats.org/officeDocument/2006/relationships/hyperlink" Target="https://www.gov.uk/government/publications/a-brilliant-civil-service-becoming-the-uks-most-inclusive-employer" TargetMode="External"/><Relationship Id="rId65" Type="http://schemas.openxmlformats.org/officeDocument/2006/relationships/footer" Target="footer2.xm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organisations/home-office" TargetMode="External"/><Relationship Id="rId22" Type="http://schemas.openxmlformats.org/officeDocument/2006/relationships/hyperlink" Target="https://civilservicecommission.independent.gov.uk/recruitment/recruitment-principles/" TargetMode="External"/><Relationship Id="rId27" Type="http://schemas.openxmlformats.org/officeDocument/2006/relationships/hyperlink" Target="https://www.gov.uk/service-manual/helping-people-to-use-your-service/understanding-wcag" TargetMode="External"/><Relationship Id="rId30" Type="http://schemas.openxmlformats.org/officeDocument/2006/relationships/hyperlink" Target="https://www.gov.uk/service-manual/helping-people-to-use-your-service/understanding-wcag" TargetMode="External"/><Relationship Id="rId35" Type="http://schemas.openxmlformats.org/officeDocument/2006/relationships/hyperlink" Target="https://careers.homeoffice.gov.uk/" TargetMode="External"/><Relationship Id="rId43" Type="http://schemas.openxmlformats.org/officeDocument/2006/relationships/hyperlink" Target="http://civilservicecommission.independent.gov.uk/civil-service-recruitment/" TargetMode="External"/><Relationship Id="rId48" Type="http://schemas.openxmlformats.org/officeDocument/2006/relationships/hyperlink" Target="https://www.gov.uk/government/publications/a-brilliant-civil-service-becoming-the-uks-most-inclusive-employer" TargetMode="External"/><Relationship Id="rId56" Type="http://schemas.openxmlformats.org/officeDocument/2006/relationships/hyperlink" Target="https://www.gov.uk/government/publications/a-brilliant-civil-service-becoming-the-uks-most-inclusive-employer" TargetMode="External"/><Relationship Id="rId64" Type="http://schemas.openxmlformats.org/officeDocument/2006/relationships/footer" Target="footer1.xml"/><Relationship Id="rId69" Type="http://schemas.openxmlformats.org/officeDocument/2006/relationships/footer" Target="footer4.xml"/><Relationship Id="rId8" Type="http://schemas.openxmlformats.org/officeDocument/2006/relationships/webSettings" Target="webSettings.xml"/><Relationship Id="rId51" Type="http://schemas.openxmlformats.org/officeDocument/2006/relationships/hyperlink" Target="https://www.gov.uk/government/publications/a-brilliant-civil-service-becoming-the-uks-most-inclusive-employer" TargetMode="External"/><Relationship Id="rId72" Type="http://schemas.openxmlformats.org/officeDocument/2006/relationships/footer" Target="footer6.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civilservicecommission.independent.gov.uk/recruitment/recruitment-principles/" TargetMode="External"/><Relationship Id="rId25" Type="http://schemas.openxmlformats.org/officeDocument/2006/relationships/hyperlink" Target="https://www.gov.uk/service-manual/helping-people-to-use-your-service/understanding-wcag" TargetMode="External"/><Relationship Id="rId33" Type="http://schemas.openxmlformats.org/officeDocument/2006/relationships/hyperlink" Target="https://careers.homeoffice.gov.uk/" TargetMode="External"/><Relationship Id="rId38" Type="http://schemas.openxmlformats.org/officeDocument/2006/relationships/hyperlink" Target="http://civilservicecommission.independent.gov.uk/civil-service-recruitment/" TargetMode="External"/><Relationship Id="rId46" Type="http://schemas.openxmlformats.org/officeDocument/2006/relationships/hyperlink" Target="https://www.gov.uk/government/publications/a-brilliant-civil-service-becoming-the-uks-most-inclusive-employer" TargetMode="External"/><Relationship Id="rId59" Type="http://schemas.openxmlformats.org/officeDocument/2006/relationships/hyperlink" Target="https://www.gov.uk/government/publications/a-brilliant-civil-service-becoming-the-uks-most-inclusive-employer" TargetMode="External"/><Relationship Id="rId67" Type="http://schemas.openxmlformats.org/officeDocument/2006/relationships/header" Target="header1.xml"/><Relationship Id="rId20" Type="http://schemas.openxmlformats.org/officeDocument/2006/relationships/hyperlink" Target="https://civilservicecommission.independent.gov.uk/recruitment/recruitment-principles/" TargetMode="External"/><Relationship Id="rId41" Type="http://schemas.openxmlformats.org/officeDocument/2006/relationships/hyperlink" Target="http://civilservicecommission.independent.gov.uk/civil-service-recruitment/" TargetMode="External"/><Relationship Id="rId54" Type="http://schemas.openxmlformats.org/officeDocument/2006/relationships/hyperlink" Target="https://www.gov.uk/government/publications/a-brilliant-civil-service-becoming-the-uks-most-inclusive-employer" TargetMode="External"/><Relationship Id="rId62" Type="http://schemas.openxmlformats.org/officeDocument/2006/relationships/hyperlink" Target="https://www.gov.uk/government/publications/a-brilliant-civil-service-becoming-the-uks-most-inclusive-employer" TargetMode="External"/><Relationship Id="rId7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8sw9fMkA8mCeOJ2mn8lvRyCdwQ==">AMUW2mWSiprsL+0js/djancj9+ZNrT9t6A8O1LarEdjpmSsORQYQ79OllTVlDhhzlhUx7SHi39OwRH+R71+3Cro32hyMtBgc1exEmjkYobWjbaCyEWWxxHI4myBd18kCn/CU3+lbIonA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SharedWithUsers xmlns="88cbd5ec-0dc2-440d-ad2e-f516b8ac4960">
      <UserInfo>
        <DisplayName>Benito Broglia</DisplayName>
        <AccountId>61</AccountId>
        <AccountType/>
      </UserInfo>
    </SharedWithUsers>
    <lcf76f155ced4ddcb4097134ff3c332f xmlns="aa79b271-6749-47a6-9e21-da4ddeefcb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680BD6A-73AA-49FE-A591-F2577575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C7F31-1035-448F-9DBC-9609F39DA381}">
  <ds:schemaRefs>
    <ds:schemaRef ds:uri="http://schemas.microsoft.com/sharepoint/v3/contenttype/forms"/>
  </ds:schemaRefs>
</ds:datastoreItem>
</file>

<file path=customXml/itemProps4.xml><?xml version="1.0" encoding="utf-8"?>
<ds:datastoreItem xmlns:ds="http://schemas.openxmlformats.org/officeDocument/2006/customXml" ds:itemID="{76BB952B-5851-4DA2-8409-BA858FC73572}">
  <ds:schemaRefs>
    <ds:schemaRef ds:uri="http://schemas.microsoft.com/office/2006/metadata/properties"/>
    <ds:schemaRef ds:uri="http://schemas.microsoft.com/office/infopath/2007/PartnerControls"/>
    <ds:schemaRef ds:uri="60b4899e-55b4-4231-8241-12d69350e134"/>
    <ds:schemaRef ds:uri="88cbd5ec-0dc2-440d-ad2e-f516b8ac4960"/>
    <ds:schemaRef ds:uri="aa79b271-6749-47a6-9e21-da4ddeefcbe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8252</Words>
  <Characters>47042</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Isobel Hughes</cp:lastModifiedBy>
  <cp:revision>2</cp:revision>
  <dcterms:created xsi:type="dcterms:W3CDTF">2024-01-12T15:03:00Z</dcterms:created>
  <dcterms:modified xsi:type="dcterms:W3CDTF">2024-01-12T15:03:00Z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MediaServiceImageTags">
    <vt:lpwstr/>
  </property>
</Properties>
</file>